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Calibri" w:cs="Calibri" w:hAnsi="Calibri" w:eastAsia="Calibri"/>
          <w:b w:val="1"/>
          <w:bCs w:val="1"/>
          <w:sz w:val="28"/>
          <w:szCs w:val="28"/>
        </w:rPr>
      </w:pPr>
      <w:r>
        <w:rPr>
          <w:rFonts w:ascii="Calibri" w:hAnsi="Calibri"/>
          <w:b w:val="1"/>
          <w:bCs w:val="1"/>
          <w:sz w:val="28"/>
          <w:szCs w:val="28"/>
          <w:rtl w:val="0"/>
        </w:rPr>
        <w:t xml:space="preserve">JOVEO ACCEPTABLE USE POLICY </w:t>
      </w:r>
    </w:p>
    <w:p>
      <w:pPr>
        <w:pStyle w:val="Body"/>
        <w:jc w:val="center"/>
        <w:rPr>
          <w:rFonts w:ascii="Calibri" w:cs="Calibri" w:hAnsi="Calibri" w:eastAsia="Calibri"/>
          <w:b w:val="1"/>
          <w:bCs w:val="1"/>
          <w:sz w:val="28"/>
          <w:szCs w:val="28"/>
        </w:rPr>
      </w:pPr>
    </w:p>
    <w:p>
      <w:pPr>
        <w:pStyle w:val="Body"/>
        <w:spacing w:after="200"/>
        <w:jc w:val="both"/>
        <w:rPr>
          <w:rFonts w:ascii="Calibri" w:cs="Calibri" w:hAnsi="Calibri" w:eastAsia="Calibri"/>
          <w:sz w:val="24"/>
          <w:szCs w:val="24"/>
        </w:rPr>
      </w:pPr>
      <w:r>
        <w:rPr>
          <w:rFonts w:ascii="Calibri" w:hAnsi="Calibri"/>
          <w:b w:val="1"/>
          <w:bCs w:val="1"/>
          <w:sz w:val="24"/>
          <w:szCs w:val="24"/>
          <w:rtl w:val="0"/>
          <w:lang w:val="en-US"/>
        </w:rPr>
        <w:t xml:space="preserve">This Acceptable Use Policy (the </w:t>
      </w:r>
      <w:r>
        <w:rPr>
          <w:rFonts w:ascii="Calibri" w:hAnsi="Calibri" w:hint="default"/>
          <w:b w:val="1"/>
          <w:bCs w:val="1"/>
          <w:sz w:val="24"/>
          <w:szCs w:val="24"/>
          <w:rtl w:val="0"/>
          <w:lang w:val="en-US"/>
        </w:rPr>
        <w:t>“</w:t>
      </w:r>
      <w:r>
        <w:rPr>
          <w:rFonts w:ascii="Calibri" w:hAnsi="Calibri"/>
          <w:b w:val="1"/>
          <w:bCs w:val="1"/>
          <w:sz w:val="24"/>
          <w:szCs w:val="24"/>
          <w:rtl w:val="0"/>
          <w:lang w:val="de-DE"/>
        </w:rPr>
        <w:t>AUP</w:t>
      </w:r>
      <w:r>
        <w:rPr>
          <w:rFonts w:ascii="Calibri" w:hAnsi="Calibri" w:hint="default"/>
          <w:b w:val="1"/>
          <w:bCs w:val="1"/>
          <w:sz w:val="24"/>
          <w:szCs w:val="24"/>
          <w:rtl w:val="0"/>
          <w:lang w:val="en-US"/>
        </w:rPr>
        <w:t>”</w:t>
      </w:r>
      <w:r>
        <w:rPr>
          <w:rFonts w:ascii="Calibri" w:hAnsi="Calibri"/>
          <w:b w:val="1"/>
          <w:bCs w:val="1"/>
          <w:sz w:val="24"/>
          <w:szCs w:val="24"/>
          <w:rtl w:val="0"/>
        </w:rPr>
        <w:t xml:space="preserve">) </w:t>
      </w:r>
      <w:r>
        <w:rPr>
          <w:rFonts w:ascii="Calibri" w:hAnsi="Calibri"/>
          <w:sz w:val="24"/>
          <w:szCs w:val="24"/>
          <w:rtl w:val="0"/>
          <w:lang w:val="en-US"/>
        </w:rPr>
        <w:t xml:space="preserve">forms part of the Joveo Master Service Agreement (the </w:t>
      </w:r>
      <w:r>
        <w:rPr>
          <w:rFonts w:ascii="Calibri" w:hAnsi="Calibri" w:hint="default"/>
          <w:sz w:val="24"/>
          <w:szCs w:val="24"/>
          <w:rtl w:val="0"/>
          <w:lang w:val="en-US"/>
        </w:rPr>
        <w:t>“</w:t>
      </w:r>
      <w:r>
        <w:rPr>
          <w:rFonts w:ascii="Calibri" w:hAnsi="Calibri"/>
          <w:sz w:val="24"/>
          <w:szCs w:val="24"/>
          <w:rtl w:val="0"/>
          <w:lang w:val="en-US"/>
        </w:rPr>
        <w:t>Agreement</w:t>
      </w:r>
      <w:r>
        <w:rPr>
          <w:rFonts w:ascii="Calibri" w:hAnsi="Calibri" w:hint="default"/>
          <w:sz w:val="24"/>
          <w:szCs w:val="24"/>
          <w:rtl w:val="0"/>
          <w:lang w:val="en-US"/>
        </w:rPr>
        <w:t>”</w:t>
      </w:r>
      <w:r>
        <w:rPr>
          <w:rFonts w:ascii="Calibri" w:hAnsi="Calibri"/>
          <w:sz w:val="24"/>
          <w:szCs w:val="24"/>
          <w:rtl w:val="0"/>
          <w:lang w:val="en-US"/>
        </w:rPr>
        <w:t>) and applies to Customer</w:t>
      </w:r>
      <w:r>
        <w:rPr>
          <w:rFonts w:ascii="Calibri" w:hAnsi="Calibri" w:hint="default"/>
          <w:sz w:val="24"/>
          <w:szCs w:val="24"/>
          <w:rtl w:val="0"/>
          <w:lang w:val="en-US"/>
        </w:rPr>
        <w:t>’</w:t>
      </w:r>
      <w:r>
        <w:rPr>
          <w:rFonts w:ascii="Calibri" w:hAnsi="Calibri"/>
          <w:sz w:val="24"/>
          <w:szCs w:val="24"/>
          <w:rtl w:val="0"/>
          <w:lang w:val="en-US"/>
        </w:rPr>
        <w:t>s and its Authorized Users</w:t>
      </w:r>
      <w:r>
        <w:rPr>
          <w:rFonts w:ascii="Calibri" w:hAnsi="Calibri" w:hint="default"/>
          <w:sz w:val="24"/>
          <w:szCs w:val="24"/>
          <w:rtl w:val="0"/>
          <w:lang w:val="en-US"/>
        </w:rPr>
        <w:t xml:space="preserve">’ </w:t>
      </w:r>
      <w:r>
        <w:rPr>
          <w:rFonts w:ascii="Calibri" w:hAnsi="Calibri"/>
          <w:sz w:val="24"/>
          <w:szCs w:val="24"/>
          <w:rtl w:val="0"/>
          <w:lang w:val="en-US"/>
        </w:rPr>
        <w:t>use of the Joveo Platform, the Joveo Agentic Suite, AI Features, Optional Offerings, and related Services. Capitalized terms not defined in this AUP have the meanings given in the Agreement, the Data Processing Addendum (</w:t>
      </w:r>
      <w:r>
        <w:rPr>
          <w:rFonts w:ascii="Calibri" w:hAnsi="Calibri" w:hint="default"/>
          <w:sz w:val="24"/>
          <w:szCs w:val="24"/>
          <w:rtl w:val="0"/>
          <w:lang w:val="en-US"/>
        </w:rPr>
        <w:t>“</w:t>
      </w:r>
      <w:r>
        <w:rPr>
          <w:rFonts w:ascii="Calibri" w:hAnsi="Calibri"/>
          <w:sz w:val="24"/>
          <w:szCs w:val="24"/>
          <w:rtl w:val="0"/>
        </w:rPr>
        <w:t>DPA</w:t>
      </w:r>
      <w:r>
        <w:rPr>
          <w:rFonts w:ascii="Calibri" w:hAnsi="Calibri" w:hint="default"/>
          <w:sz w:val="24"/>
          <w:szCs w:val="24"/>
          <w:rtl w:val="0"/>
          <w:lang w:val="en-US"/>
        </w:rPr>
        <w:t>”</w:t>
      </w:r>
      <w:r>
        <w:rPr>
          <w:rFonts w:ascii="Calibri" w:hAnsi="Calibri"/>
          <w:sz w:val="24"/>
          <w:szCs w:val="24"/>
          <w:rtl w:val="0"/>
          <w:lang w:val="en-US"/>
        </w:rPr>
        <w:t>), or the AI Addendum, as applicable.</w:t>
      </w: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PURPOSE AND SCOPE.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 xml:space="preserve">Customer may use the Platform only for lawful recruitment, staffing, RPO, talent-acquisition, employment-branding, advertising, candidate-engagement, interviewing, scheduling, sourcing, analytics, and related business purposes permitted under the Agreement.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Where Customer uses the Platform in connection with services provided to its Clients, Customer remains responsible for such use and for ensuring that its instructions, configurations, campaigns, communications, and data comply with the Agreement and applicable law.</w:t>
      </w:r>
    </w:p>
    <w:p>
      <w:pPr>
        <w:pStyle w:val="Body"/>
        <w:numPr>
          <w:ilvl w:val="1"/>
          <w:numId w:val="2"/>
        </w:numPr>
        <w:bidi w:val="0"/>
        <w:spacing w:after="200"/>
        <w:ind w:right="0"/>
        <w:jc w:val="both"/>
        <w:rPr>
          <w:rFonts w:ascii="Calibri" w:hAnsi="Calibri"/>
          <w:sz w:val="24"/>
          <w:szCs w:val="24"/>
          <w:rtl w:val="0"/>
          <w:lang w:val="en-US"/>
        </w:rPr>
      </w:pPr>
      <w:r>
        <w:rPr>
          <w:rFonts w:ascii="Calibri" w:hAnsi="Calibri"/>
          <w:sz w:val="24"/>
          <w:szCs w:val="24"/>
          <w:rtl w:val="0"/>
          <w:lang w:val="en-US"/>
        </w:rPr>
        <w:t>Customer is responsible for its Authorized Users and must take reasonable steps to prevent unauthorized access or use of the Platform.</w:t>
      </w:r>
    </w:p>
    <w:p>
      <w:pPr>
        <w:pStyle w:val="Heading1"/>
        <w:numPr>
          <w:ilvl w:val="0"/>
          <w:numId w:val="2"/>
        </w:numPr>
        <w:bidi w:val="0"/>
        <w:ind w:right="0"/>
        <w:jc w:val="both"/>
        <w:rPr>
          <w:rFonts w:ascii="Calibri" w:hAnsi="Calibri"/>
          <w:b w:val="1"/>
          <w:bCs w:val="1"/>
          <w:sz w:val="24"/>
          <w:szCs w:val="24"/>
          <w:rtl w:val="0"/>
          <w:lang w:val="de-DE"/>
        </w:rPr>
      </w:pPr>
      <w:r>
        <w:rPr>
          <w:rFonts w:ascii="Calibri" w:hAnsi="Calibri"/>
          <w:b w:val="1"/>
          <w:bCs w:val="1"/>
          <w:sz w:val="24"/>
          <w:szCs w:val="24"/>
          <w:rtl w:val="0"/>
          <w:lang w:val="de-DE"/>
        </w:rPr>
        <w:t xml:space="preserve">UNLAWFUL, DECEPTIVE OR DISCRIMANATORY USE .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 xml:space="preserve">Customer must not use the Platform to violate applicable law, regulation, court order, or legally binding requirement, including applicable employment, anti-discrimination, privacy, communications, advertising, consumer-protection, sanctions, export-control, or artificial-intelligence laws.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 xml:space="preserve">Customer must not use the Platform or any Output to unlawfully discriminate against, harass, exploit, or deny opportunities to any individual based on a protected characteristic or other legally protected status.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 xml:space="preserve">Customer must not use the Platform to impersonate another person or organization, misrepresent the identity or authority of a sender, recruiter, employer, or hiring organization, or create materially deceptive candidate communications. </w:t>
      </w:r>
    </w:p>
    <w:p>
      <w:pPr>
        <w:pStyle w:val="Body"/>
        <w:numPr>
          <w:ilvl w:val="1"/>
          <w:numId w:val="2"/>
        </w:numPr>
        <w:bidi w:val="0"/>
        <w:spacing w:after="200"/>
        <w:ind w:right="0"/>
        <w:jc w:val="both"/>
        <w:rPr>
          <w:rFonts w:ascii="Calibri" w:hAnsi="Calibri"/>
          <w:sz w:val="24"/>
          <w:szCs w:val="24"/>
          <w:rtl w:val="0"/>
          <w:lang w:val="en-US"/>
        </w:rPr>
      </w:pPr>
      <w:r>
        <w:rPr>
          <w:rFonts w:ascii="Calibri" w:hAnsi="Calibri"/>
          <w:sz w:val="24"/>
          <w:szCs w:val="24"/>
          <w:rtl w:val="0"/>
          <w:lang w:val="en-US"/>
        </w:rPr>
        <w:t xml:space="preserve">Customer must not use the Platform to create, upload, transmit, or distribute content that is unlawful, fraudulent, defamatory, threatening, malicious, or that infringes the intellectual-property, privacy, publicity, or other rights of a third party. </w:t>
      </w: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AI AND AUTOMATED DECISION-MAKING USE.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use AI Features in accordance with the AI Addendum and applicable AI Laws, including any applicable transparency, human-oversight, assessment, recordkeeping, or notice requirements.</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use AI Features for any prohibited AI practice under applicable law or configure the Platform to make a legally prohibited automated employment decision.</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rely solely on AI-generated Output as the basis for an adverse employment or other legally significant decision where human review is required by the Agreement, the AI Addendum, or applicable law.</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intentionally use the Platform to infer, classify, or make decisions based on biometric, emotion-recognition, or similarly sensitive characteristics except where such functionality is expressly offered by Joveo, permitted under the Agreement, and lawful. For clarity, this provision does not expand the functionality made available by Joveo.</w:t>
      </w:r>
    </w:p>
    <w:p>
      <w:pPr>
        <w:pStyle w:val="Body"/>
        <w:numPr>
          <w:ilvl w:val="1"/>
          <w:numId w:val="2"/>
        </w:numPr>
        <w:bidi w:val="0"/>
        <w:spacing w:after="200"/>
        <w:ind w:right="0"/>
        <w:jc w:val="both"/>
        <w:rPr>
          <w:rFonts w:ascii="Calibri" w:hAnsi="Calibri"/>
          <w:sz w:val="24"/>
          <w:szCs w:val="24"/>
          <w:rtl w:val="0"/>
          <w:lang w:val="en-US"/>
        </w:rPr>
      </w:pPr>
      <w:r>
        <w:rPr>
          <w:rFonts w:ascii="Calibri" w:hAnsi="Calibri"/>
          <w:sz w:val="24"/>
          <w:szCs w:val="24"/>
          <w:rtl w:val="0"/>
          <w:lang w:val="en-US"/>
        </w:rPr>
        <w:t>Customer must not provide or instruct the Platform to process Special Category Data, Sensitive Personal Information, or other sensitive data except as expressly permitted under the DPA, the AI Addendum, applicable Documentation, and applicable law.</w:t>
      </w: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SECURITY, PLATFORM INTEGRITY, AND ABUSE.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attempt to gain unauthorized access to the Platform, another customer</w:t>
      </w:r>
      <w:r>
        <w:rPr>
          <w:rFonts w:ascii="Calibri" w:hAnsi="Calibri" w:hint="default"/>
          <w:sz w:val="24"/>
          <w:szCs w:val="24"/>
          <w:rtl w:val="0"/>
          <w:lang w:val="en-US"/>
        </w:rPr>
        <w:t>’</w:t>
      </w:r>
      <w:r>
        <w:rPr>
          <w:rFonts w:ascii="Calibri" w:hAnsi="Calibri"/>
          <w:sz w:val="24"/>
          <w:szCs w:val="24"/>
          <w:rtl w:val="0"/>
          <w:lang w:val="en-US"/>
        </w:rPr>
        <w:t xml:space="preserve">s environment, Joveo systems, or any connected third-party system.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 xml:space="preserve">Customer must not introduce malware, ransomware, viruses, malicious code, denial-of-service traffic, or other harmful or disruptive material into or through the Platform.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 xml:space="preserve">Customer must not circumvent or disable authentication, access controls, rate limits, usage controls, technical safeguards, monitoring mechanisms, or other Platform protections.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probe, scan, or test the vulnerability of the Platform except pursuant to a Joveo-authorized security-testing or vulnerability-disclosure program.</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conduct or facilitate prompt-injection, model-extraction, model-inversion, membership-inference, data-exfiltration, or similar attacks intended to obtain protected information, model parameters, system prompts, or other non-public Platform information.</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reverse engineer, decompile, disassemble, copy, scrape, harvest, or attempt to derive source code, model weights, algorithms, underlying structure, or non-public data from the Platform, except to the limited extent such restriction is prohibited by applicable law.</w:t>
      </w:r>
    </w:p>
    <w:p>
      <w:pPr>
        <w:pStyle w:val="Body"/>
        <w:numPr>
          <w:ilvl w:val="1"/>
          <w:numId w:val="2"/>
        </w:numPr>
        <w:bidi w:val="0"/>
        <w:spacing w:after="200"/>
        <w:ind w:right="0"/>
        <w:jc w:val="both"/>
        <w:rPr>
          <w:rFonts w:ascii="Calibri" w:hAnsi="Calibri"/>
          <w:sz w:val="24"/>
          <w:szCs w:val="24"/>
          <w:rtl w:val="0"/>
          <w:lang w:val="en-US"/>
        </w:rPr>
      </w:pPr>
      <w:r>
        <w:rPr>
          <w:rFonts w:ascii="Calibri" w:hAnsi="Calibri"/>
          <w:sz w:val="24"/>
          <w:szCs w:val="24"/>
          <w:rtl w:val="0"/>
          <w:lang w:val="en-US"/>
        </w:rPr>
        <w:t>Customer must not use automated means to access, query, or extract information from the Platform except through documented Platform functionality, supported APIs, or other methods expressly authorized by Joveo.</w:t>
      </w: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DATA, CANDIDATE INFORMATION AND PRIVACY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provide to the Platform only data that Customer is authorized to provide and for which Customer has established the notices, permissions, lawful bases, and other rights required under applicable law.</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use the Platform to obtain, enrich, combine, retain, or disclose candidate or other personal data in a manner inconsistent with the Agreement, DPA, applicable Documentation, third-party rights, or applicable law.</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use candidate information obtained through the Platform for unrelated marketing, surveillance, profiling, sale, or other secondary purposes that are incompatible with the recruitment or talent-acquisition purpose for which the information was made available, unless separately permitted by applicable law and the Agreement.</w:t>
      </w:r>
    </w:p>
    <w:p>
      <w:pPr>
        <w:pStyle w:val="Body"/>
        <w:numPr>
          <w:ilvl w:val="1"/>
          <w:numId w:val="2"/>
        </w:numPr>
        <w:bidi w:val="0"/>
        <w:spacing w:after="200"/>
        <w:ind w:right="0"/>
        <w:jc w:val="both"/>
        <w:rPr>
          <w:rFonts w:ascii="Calibri" w:hAnsi="Calibri"/>
          <w:sz w:val="24"/>
          <w:szCs w:val="24"/>
          <w:rtl w:val="0"/>
          <w:lang w:val="en-US"/>
        </w:rPr>
      </w:pPr>
      <w:r>
        <w:rPr>
          <w:rFonts w:ascii="Calibri" w:hAnsi="Calibri"/>
          <w:sz w:val="24"/>
          <w:szCs w:val="24"/>
          <w:rtl w:val="0"/>
          <w:lang w:val="en-US"/>
        </w:rPr>
        <w:t>Customer must not upload passwords, authentication credentials, payment-card data, financial-account credentials, or government-issued identification numbers unless the applicable Platform functionality expressly requires and permits such data and appropriate safeguards have been agreed.</w:t>
      </w: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COMMUNICATIONS AND OUTREACH.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 xml:space="preserve">Customer is responsible for the legality and content of communications initiated through the Platform, including email, SMS, telephone, WhatsApp, social, or other outreach.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use the Platform to send unlawful spam, unsolicited communications, or communications to individuals where the required consent, opt-in, lawful basis, or other authorization has not been obtained.</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honor applicable opt-out, unsubscribe, do-not-contact, and suppression requests and must not intentionally circumvent communication-channel restrictions, carrier rules, or platform policies applicable to the relevant channel.</w:t>
      </w:r>
    </w:p>
    <w:p>
      <w:pPr>
        <w:pStyle w:val="Body"/>
        <w:numPr>
          <w:ilvl w:val="1"/>
          <w:numId w:val="2"/>
        </w:numPr>
        <w:bidi w:val="0"/>
        <w:spacing w:after="200"/>
        <w:ind w:right="0"/>
        <w:jc w:val="both"/>
        <w:rPr>
          <w:rFonts w:ascii="Calibri" w:hAnsi="Calibri"/>
          <w:sz w:val="24"/>
          <w:szCs w:val="24"/>
          <w:rtl w:val="0"/>
          <w:lang w:val="en-US"/>
        </w:rPr>
      </w:pPr>
      <w:r>
        <w:rPr>
          <w:rFonts w:ascii="Calibri" w:hAnsi="Calibri"/>
          <w:sz w:val="24"/>
          <w:szCs w:val="24"/>
          <w:rtl w:val="0"/>
          <w:lang w:val="en-US"/>
        </w:rPr>
        <w:t>Customer must not use misleading sender information, spoofed numbers or domains, deceptive subject lines, or other techniques designed to conceal the true source or purpose of a communication.</w:t>
      </w: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INTELLECTUAL PROPERTY AND COMPETITIVE MISUSE.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use the Platform, AI Features, Documentation, or Output to build, train, fine-tune, benchmark, validate, or improve a product or service that competes with Joveo, except with Joveo</w:t>
      </w:r>
      <w:r>
        <w:rPr>
          <w:rFonts w:ascii="Calibri" w:hAnsi="Calibri" w:hint="default"/>
          <w:sz w:val="24"/>
          <w:szCs w:val="24"/>
          <w:rtl w:val="0"/>
          <w:lang w:val="en-US"/>
        </w:rPr>
        <w:t>’</w:t>
      </w:r>
      <w:r>
        <w:rPr>
          <w:rFonts w:ascii="Calibri" w:hAnsi="Calibri"/>
          <w:sz w:val="24"/>
          <w:szCs w:val="24"/>
          <w:rtl w:val="0"/>
          <w:lang w:val="en-US"/>
        </w:rPr>
        <w:t>s prior written consent.</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remove, obscure, or alter proprietary notices, attribution, security markings, or other rights-management information appearing in the Platform or Documentation.</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copy, distribute, publish, sublicense, sell, or otherwise commercially exploit the Platform or Documentation except as expressly permitted under the Agreement.</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THIRD-PARTY SERVICES AND CONTENT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Where the Platform interoperates with Third-Party Services, Customer must comply with any applicable third-party terms, policies, and technical requirements made known to Customer.</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must not use the Platform to cause Joveo to violate the terms, access restrictions, intellectual-property rights, or acceptable-use requirements of a Third-Party Service.</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is responsible for obtaining any rights or permissions required for Customer-provided content, job data, branding, advertisements, creative materials, Client materials, or other third-party content used through the Platform.</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ENFORCEMENT.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If Joveo reasonably believes that Customer</w:t>
      </w:r>
      <w:r>
        <w:rPr>
          <w:rFonts w:ascii="Calibri" w:hAnsi="Calibri" w:hint="default"/>
          <w:sz w:val="24"/>
          <w:szCs w:val="24"/>
          <w:rtl w:val="0"/>
          <w:lang w:val="en-US"/>
        </w:rPr>
        <w:t>’</w:t>
      </w:r>
      <w:r>
        <w:rPr>
          <w:rFonts w:ascii="Calibri" w:hAnsi="Calibri"/>
          <w:sz w:val="24"/>
          <w:szCs w:val="24"/>
          <w:rtl w:val="0"/>
          <w:lang w:val="en-US"/>
        </w:rPr>
        <w:t>s use of the Platform violates this AUP or creates a material security, legal, fraud, abuse, or operational risk, Joveo may investigate and may take protective action in accordance with the Agreement, including restricting or suspending the affected use or access where reasonably necessary.</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Where practicable and appropriate in the circumstances, Joveo will provide notice of the issue and a reasonable opportunity to cure. Joveo may act immediately where necessary to prevent imminent harm, protect the Platform or third parties, comply with law, or address suspected fraud, abuse, or a security incident.</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Customer will reasonably cooperate with Joveo in investigating suspected misuse and in implementing reasonable corrective measures.</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Repeated or material violations of this AUP shall constitute a material breach of the Agreement.</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UPDATES.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Joveo may update this AUP in accordance with the modification provisions of the Agreement. Any version applicable to Customer will be determined in accordance with the Agreement.</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rtl w:val="0"/>
          <w:lang w:val="en-US"/>
        </w:rPr>
        <w:t>If there is a conflict between this AUP and the Agreement, DPA, AI Addendum, or applicable Order Form, the order of precedence in the Agreement applies.</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228600</wp:posOffset>
          </wp:positionH>
          <wp:positionV relativeFrom="page">
            <wp:posOffset>142875</wp:posOffset>
          </wp:positionV>
          <wp:extent cx="1490663" cy="571500"/>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extLst/>
                  </a:blip>
                  <a:stretch>
                    <a:fillRect/>
                  </a:stretch>
                </pic:blipFill>
                <pic:spPr>
                  <a:xfrm>
                    <a:off x="0" y="0"/>
                    <a:ext cx="1490663" cy="571500"/>
                  </a:xfrm>
                  <a:prstGeom prst="rect">
                    <a:avLst/>
                  </a:prstGeom>
                  <a:ln w="12700" cap="flat">
                    <a:noFill/>
                    <a:miter lim="400000"/>
                  </a:ln>
                  <a:effectLst/>
                </pic:spPr>
              </pic:pic>
            </a:graphicData>
          </a:graphic>
        </wp:anchor>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482" w:hanging="4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1.%2."/>
      <w:lvlJc w:val="left"/>
      <w:pPr>
        <w:ind w:left="482"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54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60" w:hanging="48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98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70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420" w:hanging="48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414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860" w:hanging="48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paragraph" w:styleId="Heading1">
    <w:name w:val="heading 1"/>
    <w:basedOn w:val="Body"/>
    <w:next w:val="Body"/>
    <w:qFormat/>
    <w:pPr>
      <w:keepNext/>
    </w:pPr>
    <w:rPr>
      <w:b/>
    </w:rPr>
  </w:style>
  <w:style w:type="paragraph" w:styleId="Heading2">
    <w:name w:val="heading 2"/>
    <w:basedOn w:val="Body"/>
    <w:next w:val="Body"/>
    <w:qFormat/>
    <w:pPr>
      <w:keepNext/>
    </w:pPr>
    <w:rPr>
      <w:b/>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