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Calibri" w:cs="Calibri" w:hAnsi="Calibri" w:eastAsia="Calibri"/>
          <w:b w:val="1"/>
          <w:bCs w:val="1"/>
          <w:outline w:val="0"/>
          <w:color w:val="1c4587"/>
          <w:u w:color="1c4587"/>
          <w14:textFill>
            <w14:solidFill>
              <w14:srgbClr w14:val="1C4587"/>
            </w14:solidFill>
          </w14:textFill>
        </w:rPr>
      </w:pPr>
      <w:r>
        <w:rPr>
          <w:rFonts w:ascii="Calibri" w:hAnsi="Calibri"/>
          <w:b w:val="1"/>
          <w:bCs w:val="1"/>
          <w:outline w:val="0"/>
          <w:color w:val="1c4587"/>
          <w:u w:color="1c4587"/>
          <w:rtl w:val="0"/>
          <w:lang w:val="de-DE"/>
          <w14:textFill>
            <w14:solidFill>
              <w14:srgbClr w14:val="1C4587"/>
            </w14:solidFill>
          </w14:textFill>
        </w:rPr>
        <w:t xml:space="preserve">CREDIT CONSUMPTION SCHEDULE </w:t>
      </w:r>
    </w:p>
    <w:p>
      <w:pPr>
        <w:pStyle w:val="Body"/>
        <w:jc w:val="both"/>
        <w:rPr>
          <w:rFonts w:ascii="Calibri" w:cs="Calibri" w:hAnsi="Calibri" w:eastAsia="Calibri"/>
        </w:rPr>
      </w:pPr>
    </w:p>
    <w:p>
      <w:pPr>
        <w:pStyle w:val="Body"/>
        <w:spacing w:after="100"/>
        <w:jc w:val="both"/>
        <w:rPr>
          <w:rFonts w:ascii="Calibri" w:cs="Calibri" w:hAnsi="Calibri" w:eastAsia="Calibri"/>
        </w:rPr>
      </w:pPr>
      <w:r>
        <w:rPr>
          <w:rFonts w:ascii="Calibri" w:hAnsi="Calibri"/>
          <w:rtl w:val="0"/>
          <w:lang w:val="en-US"/>
        </w:rPr>
        <w:t xml:space="preserve">This Credit Consumption Schedule (the </w:t>
      </w:r>
      <w:r>
        <w:rPr>
          <w:rFonts w:ascii="Calibri" w:hAnsi="Calibri" w:hint="default"/>
          <w:rtl w:val="0"/>
          <w:lang w:val="en-US"/>
        </w:rPr>
        <w:t>“</w:t>
      </w:r>
      <w:r>
        <w:rPr>
          <w:rFonts w:ascii="Calibri" w:hAnsi="Calibri"/>
          <w:rtl w:val="0"/>
          <w:lang w:val="en-US"/>
        </w:rPr>
        <w:t>Consumption Schedule</w:t>
      </w:r>
      <w:r>
        <w:rPr>
          <w:rFonts w:ascii="Calibri" w:hAnsi="Calibri" w:hint="default"/>
          <w:rtl w:val="0"/>
          <w:lang w:val="en-US"/>
        </w:rPr>
        <w:t>”</w:t>
      </w:r>
      <w:r>
        <w:rPr>
          <w:rFonts w:ascii="Calibri" w:hAnsi="Calibri"/>
          <w:rtl w:val="0"/>
          <w:lang w:val="en-US"/>
        </w:rPr>
        <w:t>) forms part of the Agreement applicable to the Customer</w:t>
      </w:r>
      <w:r>
        <w:rPr>
          <w:rFonts w:ascii="Calibri" w:hAnsi="Calibri" w:hint="default"/>
          <w:rtl w:val="0"/>
          <w:lang w:val="en-US"/>
        </w:rPr>
        <w:t>’</w:t>
      </w:r>
      <w:r>
        <w:rPr>
          <w:rFonts w:ascii="Calibri" w:hAnsi="Calibri"/>
          <w:rtl w:val="0"/>
          <w:lang w:val="en-US"/>
        </w:rPr>
        <w:t>s use of the Joveo Agentic Suite and is incorporated by reference into the Agreement and any Order Form referencing it. It sets out how Credits are consumed across the Joveo Agentic Suite, including Credit costs by action, free and discounted actions, rollover, overage, and regional carrier uplifts. Capitalized terms not defined here have the meanings given in the applicable Order Form or Agreement.</w:t>
      </w:r>
    </w:p>
    <w:p>
      <w:pPr>
        <w:pStyle w:val="Heading1"/>
        <w:numPr>
          <w:ilvl w:val="0"/>
          <w:numId w:val="2"/>
        </w:numPr>
        <w:bidi w:val="0"/>
        <w:spacing w:after="100"/>
        <w:ind w:right="0"/>
        <w:jc w:val="both"/>
        <w:rPr>
          <w:rFonts w:ascii="Calibri" w:hAnsi="Calibri"/>
          <w:rtl w:val="0"/>
          <w:lang w:val="nl-NL"/>
        </w:rPr>
      </w:pPr>
      <w:r>
        <w:rPr>
          <w:rFonts w:ascii="Calibri" w:hAnsi="Calibri"/>
          <w:b w:val="1"/>
          <w:bCs w:val="1"/>
          <w:outline w:val="0"/>
          <w:color w:val="1c4587"/>
          <w:u w:color="1c4587"/>
          <w:rtl w:val="0"/>
          <w:lang w:val="nl-NL"/>
          <w14:textFill>
            <w14:solidFill>
              <w14:srgbClr w14:val="1C4587"/>
            </w14:solidFill>
          </w14:textFill>
        </w:rPr>
        <w:t>Overview</w:t>
      </w:r>
      <w:r>
        <w:rPr>
          <w:rFonts w:ascii="Calibri" w:hAnsi="Calibri"/>
          <w:rtl w:val="0"/>
        </w:rPr>
        <w:t xml:space="preserve">. </w:t>
      </w:r>
    </w:p>
    <w:p>
      <w:pPr>
        <w:pStyle w:val="Body"/>
        <w:spacing w:after="100"/>
        <w:jc w:val="both"/>
        <w:rPr>
          <w:rFonts w:ascii="Calibri" w:cs="Calibri" w:hAnsi="Calibri" w:eastAsia="Calibri"/>
        </w:rPr>
      </w:pPr>
      <w:r>
        <w:rPr>
          <w:rFonts w:ascii="Calibri" w:hAnsi="Calibri"/>
          <w:rtl w:val="0"/>
          <w:lang w:val="en-US"/>
        </w:rPr>
        <w:t>Credits are drawn from a single, fungible pool and may be applied by Customer across the generally available Credit-consuming offerings and capabilities within the Joveo Agentic Suite made available to Customer. AI Job Advertising and AI Social Advertising are included in Customer's platform license and do not draw Credits. All other products consume Credits as set out in this Consumption Schedule. Credit costs per action are universal across customers and tiers; the dollar value of a Credit is the Effective Rate specified in Customer's Order Form. Credits are deducted when the applicable billable action occurs. Recurring offerings are deducted monthly as described in Section 4. Credit debit values in this Schedule apply for the applicable Subscription Term unless the Parties agree otherwise in writing. Joveo may add new actions, features or Optional Offerings during the Term and will identify the applicable Credit debit before Customer uses the applicable new billable action.</w:t>
      </w:r>
    </w:p>
    <w:p>
      <w:pPr>
        <w:pStyle w:val="Heading1"/>
        <w:numPr>
          <w:ilvl w:val="0"/>
          <w:numId w:val="2"/>
        </w:numPr>
        <w:bidi w:val="0"/>
        <w:spacing w:after="100"/>
        <w:ind w:right="0"/>
        <w:jc w:val="both"/>
        <w:rPr>
          <w:rFonts w:ascii="Calibri" w:hAnsi="Calibri"/>
          <w:b w:val="1"/>
          <w:bCs w:val="1"/>
          <w:outline w:val="0"/>
          <w:color w:val="1c4587"/>
          <w:rtl w:val="0"/>
          <w:lang w:val="en-US"/>
          <w14:textFill>
            <w14:solidFill>
              <w14:srgbClr w14:val="1C4587"/>
            </w14:solidFill>
          </w14:textFill>
        </w:rPr>
      </w:pPr>
      <w:r>
        <w:rPr>
          <w:rFonts w:ascii="Calibri" w:hAnsi="Calibri"/>
          <w:b w:val="1"/>
          <w:bCs w:val="1"/>
          <w:outline w:val="0"/>
          <w:color w:val="1c4587"/>
          <w:u w:color="1c4587"/>
          <w:rtl w:val="0"/>
          <w:lang w:val="en-US"/>
          <w14:textFill>
            <w14:solidFill>
              <w14:srgbClr w14:val="1C4587"/>
            </w14:solidFill>
          </w14:textFill>
        </w:rPr>
        <w:t>Event-Based Credit Consumption.</w:t>
      </w:r>
    </w:p>
    <w:p>
      <w:pPr>
        <w:pStyle w:val="Body"/>
        <w:spacing w:after="100"/>
        <w:jc w:val="both"/>
        <w:rPr>
          <w:rFonts w:ascii="Calibri" w:cs="Calibri" w:hAnsi="Calibri" w:eastAsia="Calibri"/>
          <w:outline w:val="0"/>
          <w:color w:val="1c1612"/>
          <w:u w:color="1c1612"/>
          <w14:textFill>
            <w14:solidFill>
              <w14:srgbClr w14:val="1C1612"/>
            </w14:solidFill>
          </w14:textFill>
        </w:rPr>
      </w:pPr>
      <w:r>
        <w:rPr>
          <w:rFonts w:ascii="Calibri" w:hAnsi="Calibri"/>
          <w:rtl w:val="0"/>
          <w:lang w:val="en-US"/>
        </w:rPr>
        <w:t>The following Credit amounts are deducted from Customer</w:t>
      </w:r>
      <w:r>
        <w:rPr>
          <w:rFonts w:ascii="Calibri" w:hAnsi="Calibri" w:hint="default"/>
          <w:rtl w:val="0"/>
          <w:lang w:val="en-US"/>
        </w:rPr>
        <w:t>’</w:t>
      </w:r>
      <w:r>
        <w:rPr>
          <w:rFonts w:ascii="Calibri" w:hAnsi="Calibri"/>
          <w:rtl w:val="0"/>
          <w:lang w:val="en-US"/>
        </w:rPr>
        <w:t>s Credit pool when the applicable action is used:</w:t>
      </w:r>
    </w:p>
    <w:tbl>
      <w:tblPr>
        <w:tblW w:w="871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735"/>
        <w:gridCol w:w="2115"/>
        <w:gridCol w:w="2865"/>
      </w:tblGrid>
      <w:tr>
        <w:tblPrEx>
          <w:shd w:val="clear" w:color="auto" w:fill="4f81bd"/>
        </w:tblPrEx>
        <w:trPr>
          <w:trHeight w:val="221" w:hRule="atLeast"/>
          <w:tblHeader/>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Product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action</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Type</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Credits</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Campaign outreach</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Chatbot conversation</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5</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Sourcer search</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Sourcer view / refresh</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5</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Hosted application</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Voice interview (web)</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25</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Video interview (web, 10 min)</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40</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Phone-call interview</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25</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SMS interview</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5</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WhatsApp-call interview</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25</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WhatsApp interview</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5</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Outbound message</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Scheduled event</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w:t>
            </w:r>
          </w:p>
        </w:tc>
      </w:tr>
      <w:tr>
        <w:tblPrEx>
          <w:shd w:val="clear" w:color="auto" w:fill="ced7e7"/>
        </w:tblPrEx>
        <w:trPr>
          <w:trHeight w:val="48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AI CRM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Candidates stored (per 1k, monthly)</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Recurring (monthly)</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 per 1k</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AI CRM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AI Search Conversation</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4</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AI CRM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Talent Pool creation</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5</w:t>
            </w:r>
          </w:p>
        </w:tc>
      </w:tr>
      <w:tr>
        <w:tblPrEx>
          <w:shd w:val="clear" w:color="auto" w:fill="ced7e7"/>
        </w:tblPrEx>
        <w:trPr>
          <w:trHeight w:val="48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AI CRM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Pool automation (per action)</w:t>
            </w:r>
          </w:p>
        </w:tc>
        <w:tc>
          <w:tcPr>
            <w:tcW w:type="dxa" w:w="21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Event</w:t>
            </w:r>
          </w:p>
        </w:tc>
        <w:tc>
          <w:tcPr>
            <w:tcW w:type="dxa" w:w="286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0</w:t>
            </w:r>
            <w:r>
              <w:rPr>
                <w:rFonts w:ascii="Calibri" w:hAnsi="Calibri" w:hint="default"/>
                <w:outline w:val="0"/>
                <w:color w:val="1c1612"/>
                <w:u w:color="1c1612"/>
                <w:shd w:val="nil" w:color="auto" w:fill="auto"/>
                <w:rtl w:val="0"/>
                <w:lang w:val="en-US"/>
                <w14:textFill>
                  <w14:solidFill>
                    <w14:srgbClr w14:val="1C1612"/>
                  </w14:solidFill>
                </w14:textFill>
              </w:rPr>
              <w:t>–</w:t>
            </w:r>
            <w:r>
              <w:rPr>
                <w:rFonts w:ascii="Calibri" w:hAnsi="Calibri"/>
                <w:outline w:val="0"/>
                <w:color w:val="1c1612"/>
                <w:u w:color="1c1612"/>
                <w:shd w:val="nil" w:color="auto" w:fill="auto"/>
                <w:rtl w:val="0"/>
                <w:lang w:val="en-US"/>
                <w14:textFill>
                  <w14:solidFill>
                    <w14:srgbClr w14:val="1C1612"/>
                  </w14:solidFill>
                </w14:textFill>
              </w:rPr>
              <w:t>2</w:t>
            </w:r>
          </w:p>
        </w:tc>
      </w:tr>
    </w:tbl>
    <w:p>
      <w:pPr>
        <w:pStyle w:val="Body"/>
        <w:widowControl w:val="0"/>
        <w:spacing w:after="100" w:line="240" w:lineRule="auto"/>
        <w:rPr>
          <w:rFonts w:ascii="Calibri" w:cs="Calibri" w:hAnsi="Calibri" w:eastAsia="Calibri"/>
          <w:outline w:val="0"/>
          <w:color w:val="1c1612"/>
          <w:u w:color="1c1612"/>
          <w14:textFill>
            <w14:solidFill>
              <w14:srgbClr w14:val="1C1612"/>
            </w14:solidFill>
          </w14:textFill>
        </w:rPr>
      </w:pPr>
    </w:p>
    <w:p>
      <w:pPr>
        <w:pStyle w:val="Body"/>
        <w:spacing w:after="120" w:line="240" w:lineRule="auto"/>
        <w:rPr>
          <w:rFonts w:ascii="Calibri" w:cs="Calibri" w:hAnsi="Calibri" w:eastAsia="Calibri"/>
        </w:rPr>
      </w:pPr>
    </w:p>
    <w:p>
      <w:pPr>
        <w:pStyle w:val="Heading1"/>
        <w:spacing w:after="100"/>
        <w:jc w:val="both"/>
        <w:rPr>
          <w:rFonts w:ascii="Calibri" w:cs="Calibri" w:hAnsi="Calibri" w:eastAsia="Calibri"/>
          <w:b w:val="1"/>
          <w:bCs w:val="1"/>
          <w:outline w:val="0"/>
          <w:color w:val="1c4587"/>
          <w:u w:color="1c4587"/>
          <w14:textFill>
            <w14:solidFill>
              <w14:srgbClr w14:val="1C4587"/>
            </w14:solidFill>
          </w14:textFill>
        </w:rPr>
      </w:pPr>
      <w:r>
        <w:rPr>
          <w:rFonts w:ascii="Calibri" w:hAnsi="Calibri"/>
          <w:b w:val="1"/>
          <w:bCs w:val="1"/>
          <w:outline w:val="0"/>
          <w:color w:val="1c4587"/>
          <w:u w:color="1c4587"/>
          <w:rtl w:val="0"/>
          <w:lang w:val="en-US"/>
          <w14:textFill>
            <w14:solidFill>
              <w14:srgbClr w14:val="1C4587"/>
            </w14:solidFill>
          </w14:textFill>
        </w:rPr>
        <w:t xml:space="preserve">Additional Usage Rules: </w:t>
      </w:r>
    </w:p>
    <w:p>
      <w:pPr>
        <w:pStyle w:val="Body"/>
        <w:numPr>
          <w:ilvl w:val="0"/>
          <w:numId w:val="4"/>
        </w:numPr>
        <w:bidi w:val="0"/>
        <w:ind w:right="0"/>
        <w:jc w:val="both"/>
        <w:rPr>
          <w:rFonts w:ascii="Calibri" w:hAnsi="Calibri"/>
          <w:rtl w:val="0"/>
          <w:lang w:val="en-US"/>
        </w:rPr>
      </w:pPr>
      <w:r>
        <w:rPr>
          <w:rFonts w:ascii="Calibri" w:hAnsi="Calibri"/>
          <w:rtl w:val="0"/>
          <w:lang w:val="en-US"/>
        </w:rPr>
        <w:t>Chat interactions of fewer than three turns, partial screenings and reschedules do not consume Credits.</w:t>
      </w:r>
    </w:p>
    <w:p>
      <w:pPr>
        <w:pStyle w:val="Body"/>
        <w:numPr>
          <w:ilvl w:val="0"/>
          <w:numId w:val="4"/>
        </w:numPr>
        <w:bidi w:val="0"/>
        <w:ind w:right="0"/>
        <w:jc w:val="both"/>
        <w:rPr>
          <w:rFonts w:ascii="Calibri" w:hAnsi="Calibri"/>
          <w:rtl w:val="0"/>
          <w:lang w:val="en-US"/>
        </w:rPr>
      </w:pPr>
      <w:r>
        <w:rPr>
          <w:rFonts w:ascii="Calibri" w:hAnsi="Calibri"/>
          <w:rtl w:val="0"/>
          <w:lang w:val="en-US"/>
        </w:rPr>
        <w:t>Interview usage is billed in 10-minute blocks where applicable.</w:t>
      </w:r>
    </w:p>
    <w:p>
      <w:pPr>
        <w:pStyle w:val="Body"/>
        <w:numPr>
          <w:ilvl w:val="0"/>
          <w:numId w:val="4"/>
        </w:numPr>
        <w:bidi w:val="0"/>
        <w:ind w:right="0"/>
        <w:jc w:val="both"/>
        <w:rPr>
          <w:rFonts w:ascii="Calibri" w:hAnsi="Calibri"/>
          <w:rtl w:val="0"/>
          <w:lang w:val="en-US"/>
        </w:rPr>
      </w:pPr>
      <w:r>
        <w:rPr>
          <w:rFonts w:ascii="Calibri" w:hAnsi="Calibri"/>
          <w:rtl w:val="0"/>
          <w:lang w:val="en-US"/>
        </w:rPr>
        <w:t xml:space="preserve">For an interview that terminates before 50% of the applicable billing block is completed, 50% of the applicable interview Credit charge is applied. </w:t>
      </w:r>
    </w:p>
    <w:p>
      <w:pPr>
        <w:pStyle w:val="Body"/>
        <w:numPr>
          <w:ilvl w:val="0"/>
          <w:numId w:val="4"/>
        </w:numPr>
        <w:bidi w:val="0"/>
        <w:ind w:right="0"/>
        <w:jc w:val="both"/>
        <w:rPr>
          <w:rFonts w:ascii="Calibri" w:hAnsi="Calibri"/>
          <w:rtl w:val="0"/>
          <w:lang w:val="en-US"/>
        </w:rPr>
      </w:pPr>
      <w:r>
        <w:rPr>
          <w:rFonts w:ascii="Calibri" w:hAnsi="Calibri"/>
          <w:rtl w:val="0"/>
          <w:lang w:val="en-US"/>
        </w:rPr>
        <w:t xml:space="preserve">SMS, phone-voice and WhatsApp-voice actions may also incur the regional carrier uplifts in Section 6. </w:t>
      </w:r>
    </w:p>
    <w:p>
      <w:pPr>
        <w:pStyle w:val="Body"/>
        <w:spacing w:after="100"/>
        <w:ind w:left="720" w:firstLine="0"/>
        <w:jc w:val="both"/>
        <w:rPr>
          <w:rFonts w:ascii="Calibri" w:cs="Calibri" w:hAnsi="Calibri" w:eastAsia="Calibri"/>
        </w:rPr>
      </w:pPr>
    </w:p>
    <w:p>
      <w:pPr>
        <w:pStyle w:val="Heading1"/>
        <w:numPr>
          <w:ilvl w:val="0"/>
          <w:numId w:val="5"/>
        </w:numPr>
        <w:bidi w:val="0"/>
        <w:spacing w:after="100"/>
        <w:ind w:right="0"/>
        <w:jc w:val="both"/>
        <w:rPr>
          <w:rFonts w:ascii="Calibri" w:hAnsi="Calibri"/>
          <w:b w:val="1"/>
          <w:bCs w:val="1"/>
          <w:outline w:val="0"/>
          <w:color w:val="1c4587"/>
          <w:rtl w:val="0"/>
          <w:lang w:val="en-US"/>
          <w14:textFill>
            <w14:solidFill>
              <w14:srgbClr w14:val="1C4587"/>
            </w14:solidFill>
          </w14:textFill>
        </w:rPr>
      </w:pPr>
      <w:r>
        <w:rPr>
          <w:rFonts w:ascii="Calibri" w:hAnsi="Calibri"/>
          <w:b w:val="1"/>
          <w:bCs w:val="1"/>
          <w:outline w:val="0"/>
          <w:color w:val="1c4587"/>
          <w:u w:color="1c4587"/>
          <w:rtl w:val="0"/>
          <w:lang w:val="en-US"/>
          <w14:textFill>
            <w14:solidFill>
              <w14:srgbClr w14:val="1C4587"/>
            </w14:solidFill>
          </w14:textFill>
        </w:rPr>
        <w:t>Included Offerings with No Credit Burn.</w:t>
      </w:r>
    </w:p>
    <w:tbl>
      <w:tblPr>
        <w:tblW w:w="889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735"/>
        <w:gridCol w:w="5160"/>
      </w:tblGrid>
      <w:tr>
        <w:tblPrEx>
          <w:shd w:val="clear" w:color="auto" w:fill="4f81bd"/>
        </w:tblPrEx>
        <w:trPr>
          <w:trHeight w:val="221" w:hRule="atLeast"/>
          <w:tblHeader/>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Offering</w:t>
            </w:r>
          </w:p>
        </w:tc>
        <w:tc>
          <w:tcPr>
            <w:tcW w:type="dxa" w:w="516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Credit Treatment</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AI Job Advertising</w:t>
            </w:r>
          </w:p>
        </w:tc>
        <w:tc>
          <w:tcPr>
            <w:tcW w:type="dxa" w:w="516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Included with platform access; no Credit deduction.</w:t>
            </w:r>
          </w:p>
        </w:tc>
      </w:tr>
      <w:tr>
        <w:tblPrEx>
          <w:shd w:val="clear" w:color="auto" w:fill="ced7e7"/>
        </w:tblPrEx>
        <w:trPr>
          <w:trHeight w:val="221" w:hRule="atLeast"/>
        </w:trPr>
        <w:tc>
          <w:tcPr>
            <w:tcW w:type="dxa" w:w="373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AI Social Advertising </w:t>
            </w:r>
          </w:p>
        </w:tc>
        <w:tc>
          <w:tcPr>
            <w:tcW w:type="dxa" w:w="516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Included with platform access; no Credit deduction.</w:t>
            </w:r>
          </w:p>
        </w:tc>
      </w:tr>
    </w:tbl>
    <w:p>
      <w:pPr>
        <w:pStyle w:val="Body"/>
        <w:widowControl w:val="0"/>
        <w:numPr>
          <w:ilvl w:val="0"/>
          <w:numId w:val="2"/>
        </w:numPr>
        <w:spacing w:after="100" w:line="240" w:lineRule="auto"/>
      </w:pPr>
    </w:p>
    <w:p>
      <w:pPr>
        <w:pStyle w:val="Body"/>
        <w:spacing w:after="120" w:line="240" w:lineRule="auto"/>
        <w:jc w:val="both"/>
        <w:rPr>
          <w:rFonts w:ascii="Calibri" w:cs="Calibri" w:hAnsi="Calibri" w:eastAsia="Calibri"/>
        </w:rPr>
      </w:pPr>
    </w:p>
    <w:p>
      <w:pPr>
        <w:pStyle w:val="Body"/>
        <w:spacing w:after="120" w:line="240" w:lineRule="auto"/>
        <w:jc w:val="both"/>
        <w:rPr>
          <w:rFonts w:ascii="Calibri" w:cs="Calibri" w:hAnsi="Calibri" w:eastAsia="Calibri"/>
        </w:rPr>
      </w:pPr>
      <w:r>
        <w:rPr>
          <w:rFonts w:ascii="Calibri" w:hAnsi="Calibri"/>
          <w:rtl w:val="0"/>
          <w:lang w:val="en-US"/>
        </w:rPr>
        <w:t>For clarity, the foregoing no-Credit treatment relates only to use of the applicable Platform functionality and does not include Media Spend or other third-party advertising charges, which are governed by the Agreement.</w:t>
      </w:r>
    </w:p>
    <w:p>
      <w:pPr>
        <w:pStyle w:val="Heading1"/>
        <w:numPr>
          <w:ilvl w:val="0"/>
          <w:numId w:val="6"/>
        </w:numPr>
        <w:bidi w:val="0"/>
        <w:spacing w:after="100"/>
        <w:ind w:right="0"/>
        <w:jc w:val="both"/>
        <w:rPr>
          <w:rFonts w:ascii="Calibri" w:hAnsi="Calibri"/>
          <w:b w:val="1"/>
          <w:bCs w:val="1"/>
          <w:outline w:val="0"/>
          <w:color w:val="1c4587"/>
          <w:rtl w:val="0"/>
          <w:lang w:val="en-US"/>
          <w14:textFill>
            <w14:solidFill>
              <w14:srgbClr w14:val="1C4587"/>
            </w14:solidFill>
          </w14:textFill>
        </w:rPr>
      </w:pPr>
      <w:r>
        <w:rPr>
          <w:rFonts w:ascii="Calibri" w:hAnsi="Calibri"/>
          <w:b w:val="1"/>
          <w:bCs w:val="1"/>
          <w:outline w:val="0"/>
          <w:color w:val="1c4587"/>
          <w:u w:color="1c4587"/>
          <w:rtl w:val="0"/>
          <w:lang w:val="en-US"/>
          <w14:textFill>
            <w14:solidFill>
              <w14:srgbClr w14:val="1C4587"/>
            </w14:solidFill>
          </w14:textFill>
        </w:rPr>
        <w:t xml:space="preserve">Recurring Credit Consumption. </w:t>
      </w:r>
    </w:p>
    <w:p>
      <w:pPr>
        <w:pStyle w:val="Body"/>
        <w:spacing w:after="100"/>
        <w:jc w:val="both"/>
        <w:rPr>
          <w:rFonts w:ascii="Calibri" w:cs="Calibri" w:hAnsi="Calibri" w:eastAsia="Calibri"/>
          <w:outline w:val="0"/>
          <w:color w:val="1c1612"/>
          <w:u w:color="1c1612"/>
          <w14:textFill>
            <w14:solidFill>
              <w14:srgbClr w14:val="1C1612"/>
            </w14:solidFill>
          </w14:textFill>
        </w:rPr>
      </w:pPr>
      <w:r>
        <w:rPr>
          <w:rFonts w:ascii="Calibri" w:hAnsi="Calibri"/>
          <w:rtl w:val="0"/>
          <w:lang w:val="en-US"/>
        </w:rPr>
        <w:t xml:space="preserve">Live, self-serve Career Sites and Landing Pages consume Credits from the shared pool on a recurring monthly basis as follows: </w:t>
      </w:r>
    </w:p>
    <w:tbl>
      <w:tblPr>
        <w:tblW w:w="74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105"/>
        <w:gridCol w:w="2040"/>
        <w:gridCol w:w="2295"/>
      </w:tblGrid>
      <w:tr>
        <w:tblPrEx>
          <w:shd w:val="clear" w:color="auto" w:fill="4f81bd"/>
        </w:tblPrEx>
        <w:trPr>
          <w:trHeight w:val="221" w:hRule="atLeast"/>
          <w:tblHeader/>
        </w:trPr>
        <w:tc>
          <w:tcPr>
            <w:tcW w:type="dxa" w:w="310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Product / tier</w:t>
            </w:r>
          </w:p>
        </w:tc>
        <w:tc>
          <w:tcPr>
            <w:tcW w:type="dxa" w:w="204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Annual credits</w:t>
            </w:r>
          </w:p>
        </w:tc>
        <w:tc>
          <w:tcPr>
            <w:tcW w:type="dxa" w:w="22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Credits / month</w:t>
            </w:r>
          </w:p>
        </w:tc>
      </w:tr>
      <w:tr>
        <w:tblPrEx>
          <w:shd w:val="clear" w:color="auto" w:fill="ced7e7"/>
        </w:tblPrEx>
        <w:trPr>
          <w:trHeight w:val="221" w:hRule="atLeast"/>
        </w:trPr>
        <w:tc>
          <w:tcPr>
            <w:tcW w:type="dxa" w:w="310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Career site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Basic</w:t>
            </w:r>
          </w:p>
        </w:tc>
        <w:tc>
          <w:tcPr>
            <w:tcW w:type="dxa" w:w="204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100,000</w:t>
            </w:r>
          </w:p>
        </w:tc>
        <w:tc>
          <w:tcPr>
            <w:tcW w:type="dxa" w:w="22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8,333</w:t>
            </w:r>
          </w:p>
        </w:tc>
      </w:tr>
      <w:tr>
        <w:tblPrEx>
          <w:shd w:val="clear" w:color="auto" w:fill="ced7e7"/>
        </w:tblPrEx>
        <w:trPr>
          <w:trHeight w:val="221" w:hRule="atLeast"/>
        </w:trPr>
        <w:tc>
          <w:tcPr>
            <w:tcW w:type="dxa" w:w="310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Career site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Pro</w:t>
            </w:r>
          </w:p>
        </w:tc>
        <w:tc>
          <w:tcPr>
            <w:tcW w:type="dxa" w:w="204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200,000</w:t>
            </w:r>
          </w:p>
        </w:tc>
        <w:tc>
          <w:tcPr>
            <w:tcW w:type="dxa" w:w="22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16,667</w:t>
            </w:r>
          </w:p>
        </w:tc>
      </w:tr>
      <w:tr>
        <w:tblPrEx>
          <w:shd w:val="clear" w:color="auto" w:fill="ced7e7"/>
        </w:tblPrEx>
        <w:trPr>
          <w:trHeight w:val="221" w:hRule="atLeast"/>
        </w:trPr>
        <w:tc>
          <w:tcPr>
            <w:tcW w:type="dxa" w:w="310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Career site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Enterprise</w:t>
            </w:r>
          </w:p>
        </w:tc>
        <w:tc>
          <w:tcPr>
            <w:tcW w:type="dxa" w:w="204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320,000</w:t>
            </w:r>
          </w:p>
        </w:tc>
        <w:tc>
          <w:tcPr>
            <w:tcW w:type="dxa" w:w="22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26,667</w:t>
            </w:r>
          </w:p>
        </w:tc>
      </w:tr>
      <w:tr>
        <w:tblPrEx>
          <w:shd w:val="clear" w:color="auto" w:fill="ced7e7"/>
        </w:tblPrEx>
        <w:trPr>
          <w:trHeight w:val="221" w:hRule="atLeast"/>
        </w:trPr>
        <w:tc>
          <w:tcPr>
            <w:tcW w:type="dxa" w:w="310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Landing page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Basic</w:t>
            </w:r>
          </w:p>
        </w:tc>
        <w:tc>
          <w:tcPr>
            <w:tcW w:type="dxa" w:w="204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12,500</w:t>
            </w:r>
          </w:p>
        </w:tc>
        <w:tc>
          <w:tcPr>
            <w:tcW w:type="dxa" w:w="22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1,042</w:t>
            </w:r>
          </w:p>
        </w:tc>
      </w:tr>
      <w:tr>
        <w:tblPrEx>
          <w:shd w:val="clear" w:color="auto" w:fill="ced7e7"/>
        </w:tblPrEx>
        <w:trPr>
          <w:trHeight w:val="221" w:hRule="atLeast"/>
        </w:trPr>
        <w:tc>
          <w:tcPr>
            <w:tcW w:type="dxa" w:w="310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Landing page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Pro</w:t>
            </w:r>
          </w:p>
        </w:tc>
        <w:tc>
          <w:tcPr>
            <w:tcW w:type="dxa" w:w="204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25,000</w:t>
            </w:r>
          </w:p>
        </w:tc>
        <w:tc>
          <w:tcPr>
            <w:tcW w:type="dxa" w:w="22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2,083</w:t>
            </w:r>
          </w:p>
        </w:tc>
      </w:tr>
      <w:tr>
        <w:tblPrEx>
          <w:shd w:val="clear" w:color="auto" w:fill="ced7e7"/>
        </w:tblPrEx>
        <w:trPr>
          <w:trHeight w:val="221" w:hRule="atLeast"/>
        </w:trPr>
        <w:tc>
          <w:tcPr>
            <w:tcW w:type="dxa" w:w="310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 xml:space="preserve">Landing page </w:t>
            </w:r>
            <w:r>
              <w:rPr>
                <w:rFonts w:ascii="Calibri" w:hAnsi="Calibri" w:hint="default"/>
                <w:b w:val="1"/>
                <w:bCs w:val="1"/>
                <w:outline w:val="0"/>
                <w:color w:val="1c1612"/>
                <w:u w:color="1c1612"/>
                <w:shd w:val="nil" w:color="auto" w:fill="auto"/>
                <w:rtl w:val="0"/>
                <w:lang w:val="en-US"/>
                <w14:textFill>
                  <w14:solidFill>
                    <w14:srgbClr w14:val="1C1612"/>
                  </w14:solidFill>
                </w14:textFill>
              </w:rPr>
              <w:t xml:space="preserve">— </w:t>
            </w:r>
            <w:r>
              <w:rPr>
                <w:rFonts w:ascii="Calibri" w:hAnsi="Calibri"/>
                <w:b w:val="1"/>
                <w:bCs w:val="1"/>
                <w:outline w:val="0"/>
                <w:color w:val="1c1612"/>
                <w:u w:color="1c1612"/>
                <w:shd w:val="nil" w:color="auto" w:fill="auto"/>
                <w:rtl w:val="0"/>
                <w:lang w:val="en-US"/>
                <w14:textFill>
                  <w14:solidFill>
                    <w14:srgbClr w14:val="1C1612"/>
                  </w14:solidFill>
                </w14:textFill>
              </w:rPr>
              <w:t>Enterprise</w:t>
            </w:r>
          </w:p>
        </w:tc>
        <w:tc>
          <w:tcPr>
            <w:tcW w:type="dxa" w:w="204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40,000</w:t>
            </w:r>
          </w:p>
        </w:tc>
        <w:tc>
          <w:tcPr>
            <w:tcW w:type="dxa" w:w="22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3,333</w:t>
            </w:r>
          </w:p>
        </w:tc>
      </w:tr>
    </w:tbl>
    <w:p>
      <w:pPr>
        <w:pStyle w:val="Body"/>
        <w:widowControl w:val="0"/>
        <w:spacing w:after="100" w:line="240" w:lineRule="auto"/>
        <w:rPr>
          <w:rFonts w:ascii="Calibri" w:cs="Calibri" w:hAnsi="Calibri" w:eastAsia="Calibri"/>
          <w:outline w:val="0"/>
          <w:color w:val="1c1612"/>
          <w:u w:color="1c1612"/>
          <w14:textFill>
            <w14:solidFill>
              <w14:srgbClr w14:val="1C1612"/>
            </w14:solidFill>
          </w14:textFill>
        </w:rPr>
      </w:pPr>
    </w:p>
    <w:p>
      <w:pPr>
        <w:pStyle w:val="Body"/>
        <w:spacing w:before="200" w:after="200"/>
        <w:jc w:val="both"/>
        <w:rPr>
          <w:rFonts w:ascii="Calibri" w:cs="Calibri" w:hAnsi="Calibri" w:eastAsia="Calibri"/>
        </w:rPr>
      </w:pPr>
      <w:r>
        <w:rPr>
          <w:rFonts w:ascii="Calibri" w:hAnsi="Calibri"/>
          <w:rtl w:val="0"/>
          <w:lang w:val="en-US"/>
        </w:rPr>
        <w:t>Applications captured through a Career Site or Landing Page consume an additional 2 Credits per application. Design, build, SEO and ongoing optimization services are professional services billed separately and do not consume Credits.</w:t>
      </w:r>
    </w:p>
    <w:p>
      <w:pPr>
        <w:pStyle w:val="Heading1"/>
        <w:numPr>
          <w:ilvl w:val="0"/>
          <w:numId w:val="7"/>
        </w:numPr>
        <w:bidi w:val="0"/>
        <w:spacing w:after="100"/>
        <w:ind w:right="0"/>
        <w:jc w:val="both"/>
        <w:rPr>
          <w:rFonts w:ascii="Calibri" w:hAnsi="Calibri"/>
          <w:b w:val="1"/>
          <w:bCs w:val="1"/>
          <w:outline w:val="0"/>
          <w:color w:val="1c4587"/>
          <w:rtl w:val="0"/>
          <w:lang w:val="en-US"/>
          <w14:textFill>
            <w14:solidFill>
              <w14:srgbClr w14:val="1C4587"/>
            </w14:solidFill>
          </w14:textFill>
        </w:rPr>
      </w:pPr>
      <w:r>
        <w:rPr>
          <w:rFonts w:ascii="Calibri" w:hAnsi="Calibri"/>
          <w:b w:val="1"/>
          <w:bCs w:val="1"/>
          <w:outline w:val="0"/>
          <w:color w:val="1c4587"/>
          <w:u w:color="1c4587"/>
          <w:rtl w:val="0"/>
          <w:lang w:val="en-US"/>
          <w14:textFill>
            <w14:solidFill>
              <w14:srgbClr w14:val="1C4587"/>
            </w14:solidFill>
          </w14:textFill>
        </w:rPr>
        <w:t xml:space="preserve">Overage. </w:t>
      </w:r>
    </w:p>
    <w:p>
      <w:pPr>
        <w:pStyle w:val="Body"/>
        <w:spacing w:after="100"/>
        <w:jc w:val="both"/>
        <w:rPr>
          <w:rFonts w:ascii="Calibri" w:cs="Calibri" w:hAnsi="Calibri" w:eastAsia="Calibri"/>
          <w:outline w:val="0"/>
          <w:color w:val="1c1612"/>
          <w:u w:color="1c1612"/>
          <w14:textFill>
            <w14:solidFill>
              <w14:srgbClr w14:val="1C1612"/>
            </w14:solidFill>
          </w14:textFill>
        </w:rPr>
      </w:pPr>
      <w:r>
        <w:rPr>
          <w:rFonts w:ascii="Calibri" w:hAnsi="Calibri"/>
          <w:rtl w:val="0"/>
          <w:lang w:val="en-US"/>
        </w:rPr>
        <w:t>If Customer exhausts the available Credit pool during a Contract Year, additional usage is charged at the applicable overage multiplier below, applied to the Customer</w:t>
      </w:r>
      <w:r>
        <w:rPr>
          <w:rFonts w:ascii="Calibri" w:hAnsi="Calibri" w:hint="default"/>
          <w:rtl w:val="0"/>
          <w:lang w:val="en-US"/>
        </w:rPr>
        <w:t>’</w:t>
      </w:r>
      <w:r>
        <w:rPr>
          <w:rFonts w:ascii="Calibri" w:hAnsi="Calibri"/>
          <w:rtl w:val="0"/>
          <w:lang w:val="en-US"/>
        </w:rPr>
        <w:t>s locked Effective Rate in the Order Form:</w:t>
      </w:r>
    </w:p>
    <w:tbl>
      <w:tblPr>
        <w:tblW w:w="952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025"/>
        <w:gridCol w:w="1875"/>
        <w:gridCol w:w="1875"/>
        <w:gridCol w:w="1875"/>
        <w:gridCol w:w="1875"/>
      </w:tblGrid>
      <w:tr>
        <w:tblPrEx>
          <w:shd w:val="clear" w:color="auto" w:fill="4f81bd"/>
        </w:tblPrEx>
        <w:trPr>
          <w:trHeight w:val="221" w:hRule="atLeast"/>
          <w:tblHeader/>
        </w:trPr>
        <w:tc>
          <w:tcPr>
            <w:tcW w:type="dxa" w:w="202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Starter</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Growth</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Scale</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Enterprise</w:t>
            </w:r>
          </w:p>
        </w:tc>
      </w:tr>
      <w:tr>
        <w:tblPrEx>
          <w:shd w:val="clear" w:color="auto" w:fill="ced7e7"/>
        </w:tblPrEx>
        <w:trPr>
          <w:trHeight w:val="221" w:hRule="atLeast"/>
        </w:trPr>
        <w:tc>
          <w:tcPr>
            <w:tcW w:type="dxa" w:w="202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Overage rate</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1.25</w:t>
            </w:r>
            <w:r>
              <w:rPr>
                <w:rFonts w:ascii="Calibri" w:hAnsi="Calibri" w:hint="default"/>
                <w:outline w:val="0"/>
                <w:color w:val="1c1612"/>
                <w:u w:color="1c1612"/>
                <w:shd w:val="nil" w:color="auto" w:fill="auto"/>
                <w:rtl w:val="0"/>
                <w:lang w:val="en-US"/>
                <w14:textFill>
                  <w14:solidFill>
                    <w14:srgbClr w14:val="1C1612"/>
                  </w14:solidFill>
                </w14:textFill>
              </w:rPr>
              <w:t>×</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1.20</w:t>
            </w:r>
            <w:r>
              <w:rPr>
                <w:rFonts w:ascii="Calibri" w:hAnsi="Calibri" w:hint="default"/>
                <w:outline w:val="0"/>
                <w:color w:val="1c1612"/>
                <w:u w:color="1c1612"/>
                <w:shd w:val="nil" w:color="auto" w:fill="auto"/>
                <w:rtl w:val="0"/>
                <w:lang w:val="en-US"/>
                <w14:textFill>
                  <w14:solidFill>
                    <w14:srgbClr w14:val="1C1612"/>
                  </w14:solidFill>
                </w14:textFill>
              </w:rPr>
              <w:t>×</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1.15</w:t>
            </w:r>
            <w:r>
              <w:rPr>
                <w:rFonts w:ascii="Calibri" w:hAnsi="Calibri" w:hint="default"/>
                <w:outline w:val="0"/>
                <w:color w:val="1c1612"/>
                <w:u w:color="1c1612"/>
                <w:shd w:val="nil" w:color="auto" w:fill="auto"/>
                <w:rtl w:val="0"/>
                <w:lang w:val="en-US"/>
                <w14:textFill>
                  <w14:solidFill>
                    <w14:srgbClr w14:val="1C1612"/>
                  </w14:solidFill>
                </w14:textFill>
              </w:rPr>
              <w:t>×</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1.10</w:t>
            </w:r>
            <w:r>
              <w:rPr>
                <w:rFonts w:ascii="Calibri" w:hAnsi="Calibri" w:hint="default"/>
                <w:outline w:val="0"/>
                <w:color w:val="1c1612"/>
                <w:u w:color="1c1612"/>
                <w:shd w:val="nil" w:color="auto" w:fill="auto"/>
                <w:rtl w:val="0"/>
                <w:lang w:val="en-US"/>
                <w14:textFill>
                  <w14:solidFill>
                    <w14:srgbClr w14:val="1C1612"/>
                  </w14:solidFill>
                </w14:textFill>
              </w:rPr>
              <w:t>×</w:t>
            </w:r>
          </w:p>
        </w:tc>
      </w:tr>
    </w:tbl>
    <w:p>
      <w:pPr>
        <w:pStyle w:val="Body"/>
        <w:widowControl w:val="0"/>
        <w:spacing w:after="100" w:line="240" w:lineRule="auto"/>
        <w:rPr>
          <w:rFonts w:ascii="Calibri" w:cs="Calibri" w:hAnsi="Calibri" w:eastAsia="Calibri"/>
          <w:outline w:val="0"/>
          <w:color w:val="1c1612"/>
          <w:u w:color="1c1612"/>
          <w14:textFill>
            <w14:solidFill>
              <w14:srgbClr w14:val="1C1612"/>
            </w14:solidFill>
          </w14:textFill>
        </w:rPr>
      </w:pPr>
    </w:p>
    <w:p>
      <w:pPr>
        <w:pStyle w:val="Body"/>
        <w:spacing w:after="120" w:line="240" w:lineRule="auto"/>
        <w:rPr>
          <w:rFonts w:ascii="Calibri" w:cs="Calibri" w:hAnsi="Calibri" w:eastAsia="Calibri"/>
        </w:rPr>
      </w:pPr>
    </w:p>
    <w:p>
      <w:pPr>
        <w:pStyle w:val="Body"/>
        <w:spacing w:after="120" w:line="240" w:lineRule="auto"/>
        <w:jc w:val="both"/>
        <w:rPr>
          <w:rFonts w:ascii="Calibri" w:cs="Calibri" w:hAnsi="Calibri" w:eastAsia="Calibri"/>
        </w:rPr>
      </w:pPr>
      <w:r>
        <w:rPr>
          <w:rFonts w:ascii="Calibri" w:hAnsi="Calibri"/>
          <w:u w:val="single"/>
          <w:rtl w:val="0"/>
          <w:lang w:val="en-US"/>
        </w:rPr>
        <w:t>Overage Handling</w:t>
      </w:r>
      <w:r>
        <w:rPr>
          <w:rFonts w:ascii="Calibri" w:hAnsi="Calibri"/>
          <w:rtl w:val="0"/>
          <w:lang w:val="en-US"/>
        </w:rPr>
        <w:t>. The Customer</w:t>
      </w:r>
      <w:r>
        <w:rPr>
          <w:rFonts w:ascii="Calibri" w:hAnsi="Calibri" w:hint="default"/>
          <w:rtl w:val="0"/>
          <w:lang w:val="en-US"/>
        </w:rPr>
        <w:t>’</w:t>
      </w:r>
      <w:r>
        <w:rPr>
          <w:rFonts w:ascii="Calibri" w:hAnsi="Calibri"/>
          <w:rtl w:val="0"/>
          <w:lang w:val="en-US"/>
        </w:rPr>
        <w:t>s overage handling election is set out in the applicable Order Form. If Auto Top-Up is selected, additional usage following exhaustion of the available Credit pool will continue and applicable overage charges will be invoiced monthly in arrears, unless otherwise expressly agreed in the applicable Order Form. If Pause Usage is selected, Joveo may pause further Credit-consuming activity once the available Credit pool is exhausted until additional Credits are purchased or otherwise made available.</w:t>
      </w:r>
    </w:p>
    <w:p>
      <w:pPr>
        <w:pStyle w:val="Heading1"/>
        <w:numPr>
          <w:ilvl w:val="0"/>
          <w:numId w:val="8"/>
        </w:numPr>
        <w:bidi w:val="0"/>
        <w:spacing w:after="100"/>
        <w:ind w:right="0"/>
        <w:jc w:val="both"/>
        <w:rPr>
          <w:rFonts w:ascii="Calibri" w:hAnsi="Calibri"/>
          <w:b w:val="1"/>
          <w:bCs w:val="1"/>
          <w:outline w:val="0"/>
          <w:color w:val="1c4587"/>
          <w:rtl w:val="0"/>
          <w14:textFill>
            <w14:solidFill>
              <w14:srgbClr w14:val="1C4587"/>
            </w14:solidFill>
          </w14:textFill>
        </w:rPr>
      </w:pPr>
      <w:r>
        <w:rPr>
          <w:rFonts w:ascii="Calibri" w:hAnsi="Calibri"/>
          <w:b w:val="1"/>
          <w:bCs w:val="1"/>
          <w:outline w:val="0"/>
          <w:color w:val="1c4587"/>
          <w:u w:color="1c4587"/>
          <w:rtl w:val="0"/>
          <w14:textFill>
            <w14:solidFill>
              <w14:srgbClr w14:val="1C4587"/>
            </w14:solidFill>
          </w14:textFill>
        </w:rPr>
        <w:t xml:space="preserve">Regional Carrier Uplifts. </w:t>
      </w:r>
    </w:p>
    <w:p>
      <w:pPr>
        <w:pStyle w:val="Body"/>
        <w:jc w:val="both"/>
        <w:rPr>
          <w:rFonts w:ascii="Calibri" w:cs="Calibri" w:hAnsi="Calibri" w:eastAsia="Calibri"/>
        </w:rPr>
      </w:pPr>
      <w:r>
        <w:rPr>
          <w:rFonts w:ascii="Calibri" w:hAnsi="Calibri"/>
          <w:rtl w:val="0"/>
          <w:lang w:val="en-US"/>
        </w:rPr>
        <w:t>SMS, phone-voice, and WhatsApp-voice actions carry a regional carrier uplift, billed in Credits at Customer's Effective Rate, in addition to the base Credit cost in Section 2. Email, in-app messaging, and web-based voice/video interviews carry no uplift. Voice uplifts are billed in 30-second increments, rounded up.</w:t>
      </w:r>
    </w:p>
    <w:p>
      <w:pPr>
        <w:pStyle w:val="Body"/>
        <w:jc w:val="both"/>
        <w:rPr>
          <w:rFonts w:ascii="Calibri" w:cs="Calibri" w:hAnsi="Calibri" w:eastAsia="Calibri"/>
        </w:rPr>
      </w:pPr>
    </w:p>
    <w:tbl>
      <w:tblPr>
        <w:tblW w:w="739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610"/>
        <w:gridCol w:w="1515"/>
        <w:gridCol w:w="1395"/>
        <w:gridCol w:w="1875"/>
      </w:tblGrid>
      <w:tr>
        <w:tblPrEx>
          <w:shd w:val="clear" w:color="auto" w:fill="4f81bd"/>
        </w:tblPrEx>
        <w:trPr>
          <w:trHeight w:val="481" w:hRule="atLeast"/>
          <w:tblHeader/>
        </w:trPr>
        <w:tc>
          <w:tcPr>
            <w:tcW w:type="dxa" w:w="261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Region</w:t>
            </w:r>
          </w:p>
        </w:tc>
        <w:tc>
          <w:tcPr>
            <w:tcW w:type="dxa" w:w="15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SMS cr/msg</w:t>
            </w:r>
          </w:p>
        </w:tc>
        <w:tc>
          <w:tcPr>
            <w:tcW w:type="dxa" w:w="13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Phone cr/min</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WA cr/min</w:t>
            </w:r>
          </w:p>
        </w:tc>
      </w:tr>
      <w:tr>
        <w:tblPrEx>
          <w:shd w:val="clear" w:color="auto" w:fill="ced7e7"/>
        </w:tblPrEx>
        <w:trPr>
          <w:trHeight w:val="221" w:hRule="atLeast"/>
        </w:trPr>
        <w:tc>
          <w:tcPr>
            <w:tcW w:type="dxa" w:w="261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US &amp; Canada</w:t>
            </w:r>
          </w:p>
        </w:tc>
        <w:tc>
          <w:tcPr>
            <w:tcW w:type="dxa" w:w="15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w:t>
            </w:r>
          </w:p>
        </w:tc>
        <w:tc>
          <w:tcPr>
            <w:tcW w:type="dxa" w:w="13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0.5</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0.5</w:t>
            </w:r>
          </w:p>
        </w:tc>
      </w:tr>
      <w:tr>
        <w:tblPrEx>
          <w:shd w:val="clear" w:color="auto" w:fill="ced7e7"/>
        </w:tblPrEx>
        <w:trPr>
          <w:trHeight w:val="221" w:hRule="atLeast"/>
        </w:trPr>
        <w:tc>
          <w:tcPr>
            <w:tcW w:type="dxa" w:w="261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Europe &amp; UK</w:t>
            </w:r>
          </w:p>
        </w:tc>
        <w:tc>
          <w:tcPr>
            <w:tcW w:type="dxa" w:w="15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2</w:t>
            </w:r>
          </w:p>
        </w:tc>
        <w:tc>
          <w:tcPr>
            <w:tcW w:type="dxa" w:w="13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0.5</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0.5</w:t>
            </w:r>
          </w:p>
        </w:tc>
      </w:tr>
      <w:tr>
        <w:tblPrEx>
          <w:shd w:val="clear" w:color="auto" w:fill="ced7e7"/>
        </w:tblPrEx>
        <w:trPr>
          <w:trHeight w:val="221" w:hRule="atLeast"/>
        </w:trPr>
        <w:tc>
          <w:tcPr>
            <w:tcW w:type="dxa" w:w="261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Latin America</w:t>
            </w:r>
          </w:p>
        </w:tc>
        <w:tc>
          <w:tcPr>
            <w:tcW w:type="dxa" w:w="15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3</w:t>
            </w:r>
          </w:p>
        </w:tc>
        <w:tc>
          <w:tcPr>
            <w:tcW w:type="dxa" w:w="13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w:t>
            </w:r>
          </w:p>
        </w:tc>
      </w:tr>
      <w:tr>
        <w:tblPrEx>
          <w:shd w:val="clear" w:color="auto" w:fill="ced7e7"/>
        </w:tblPrEx>
        <w:trPr>
          <w:trHeight w:val="221" w:hRule="atLeast"/>
        </w:trPr>
        <w:tc>
          <w:tcPr>
            <w:tcW w:type="dxa" w:w="261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APAC</w:t>
            </w:r>
          </w:p>
        </w:tc>
        <w:tc>
          <w:tcPr>
            <w:tcW w:type="dxa" w:w="15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4</w:t>
            </w:r>
          </w:p>
        </w:tc>
        <w:tc>
          <w:tcPr>
            <w:tcW w:type="dxa" w:w="13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w:t>
            </w:r>
          </w:p>
        </w:tc>
      </w:tr>
      <w:tr>
        <w:tblPrEx>
          <w:shd w:val="clear" w:color="auto" w:fill="ced7e7"/>
        </w:tblPrEx>
        <w:trPr>
          <w:trHeight w:val="221" w:hRule="atLeast"/>
        </w:trPr>
        <w:tc>
          <w:tcPr>
            <w:tcW w:type="dxa" w:w="261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Africa</w:t>
            </w:r>
          </w:p>
        </w:tc>
        <w:tc>
          <w:tcPr>
            <w:tcW w:type="dxa" w:w="15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4</w:t>
            </w:r>
          </w:p>
        </w:tc>
        <w:tc>
          <w:tcPr>
            <w:tcW w:type="dxa" w:w="13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1.5</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1.5</w:t>
            </w:r>
          </w:p>
        </w:tc>
      </w:tr>
      <w:tr>
        <w:tblPrEx>
          <w:shd w:val="clear" w:color="auto" w:fill="ced7e7"/>
        </w:tblPrEx>
        <w:trPr>
          <w:trHeight w:val="221" w:hRule="atLeast"/>
        </w:trPr>
        <w:tc>
          <w:tcPr>
            <w:tcW w:type="dxa" w:w="2610"/>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Middle East</w:t>
            </w:r>
          </w:p>
        </w:tc>
        <w:tc>
          <w:tcPr>
            <w:tcW w:type="dxa" w:w="151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5</w:t>
            </w:r>
          </w:p>
        </w:tc>
        <w:tc>
          <w:tcPr>
            <w:tcW w:type="dxa" w:w="139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1</w:t>
            </w:r>
          </w:p>
        </w:tc>
      </w:tr>
    </w:tbl>
    <w:p>
      <w:pPr>
        <w:pStyle w:val="Body"/>
        <w:widowControl w:val="0"/>
        <w:spacing w:line="240" w:lineRule="auto"/>
        <w:rPr>
          <w:rFonts w:ascii="Calibri" w:cs="Calibri" w:hAnsi="Calibri" w:eastAsia="Calibri"/>
        </w:rPr>
      </w:pPr>
    </w:p>
    <w:p>
      <w:pPr>
        <w:pStyle w:val="Body"/>
        <w:spacing w:before="60" w:after="160" w:line="240" w:lineRule="auto"/>
        <w:rPr>
          <w:rFonts w:ascii="Calibri" w:cs="Calibri" w:hAnsi="Calibri" w:eastAsia="Calibri"/>
        </w:rPr>
      </w:pPr>
    </w:p>
    <w:p>
      <w:pPr>
        <w:pStyle w:val="Body"/>
        <w:numPr>
          <w:ilvl w:val="0"/>
          <w:numId w:val="9"/>
        </w:numPr>
        <w:bidi w:val="0"/>
        <w:spacing w:after="100"/>
        <w:ind w:right="0"/>
        <w:jc w:val="both"/>
        <w:rPr>
          <w:rFonts w:ascii="Calibri" w:hAnsi="Calibri"/>
          <w:b w:val="1"/>
          <w:bCs w:val="1"/>
          <w:outline w:val="0"/>
          <w:color w:val="1c4587"/>
          <w:rtl w:val="0"/>
          <w:lang w:val="en-US"/>
          <w14:textFill>
            <w14:solidFill>
              <w14:srgbClr w14:val="1C4587"/>
            </w14:solidFill>
          </w14:textFill>
        </w:rPr>
      </w:pPr>
      <w:r>
        <w:rPr>
          <w:rFonts w:ascii="Calibri" w:hAnsi="Calibri"/>
          <w:b w:val="1"/>
          <w:bCs w:val="1"/>
          <w:outline w:val="0"/>
          <w:color w:val="1c4587"/>
          <w:u w:color="1c4587"/>
          <w:rtl w:val="0"/>
          <w:lang w:val="en-US"/>
          <w14:textFill>
            <w14:solidFill>
              <w14:srgbClr w14:val="1C4587"/>
            </w14:solidFill>
          </w14:textFill>
        </w:rPr>
        <w:t>Credit Roll-Over and Expiry.</w:t>
      </w:r>
    </w:p>
    <w:p>
      <w:pPr>
        <w:pStyle w:val="Body"/>
        <w:spacing w:after="100"/>
        <w:jc w:val="both"/>
        <w:rPr>
          <w:rFonts w:ascii="Calibri" w:cs="Calibri" w:hAnsi="Calibri" w:eastAsia="Calibri"/>
          <w:outline w:val="0"/>
          <w:color w:val="1c1612"/>
          <w:u w:color="1c1612"/>
          <w14:textFill>
            <w14:solidFill>
              <w14:srgbClr w14:val="1C1612"/>
            </w14:solidFill>
          </w14:textFill>
        </w:rPr>
      </w:pPr>
      <w:r>
        <w:rPr>
          <w:rFonts w:ascii="Calibri" w:hAnsi="Calibri"/>
          <w:rtl w:val="0"/>
          <w:lang w:val="en-US"/>
        </w:rPr>
        <w:t>Rollover treatment is determined by Customer</w:t>
      </w:r>
      <w:r>
        <w:rPr>
          <w:rFonts w:ascii="Calibri" w:hAnsi="Calibri" w:hint="default"/>
          <w:rtl w:val="0"/>
          <w:lang w:val="en-US"/>
        </w:rPr>
        <w:t>’</w:t>
      </w:r>
      <w:r>
        <w:rPr>
          <w:rFonts w:ascii="Calibri" w:hAnsi="Calibri"/>
          <w:rtl w:val="0"/>
          <w:lang w:val="en-US"/>
        </w:rPr>
        <w:t>s pricing Tier as set out below. The duration and expiry treatment of any rollover Credits will apply in accordance with the applicable Tier and any express terms in the Order Form.</w:t>
      </w:r>
    </w:p>
    <w:tbl>
      <w:tblPr>
        <w:tblW w:w="955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055"/>
        <w:gridCol w:w="1875"/>
        <w:gridCol w:w="1875"/>
        <w:gridCol w:w="1875"/>
        <w:gridCol w:w="1875"/>
      </w:tblGrid>
      <w:tr>
        <w:tblPrEx>
          <w:shd w:val="clear" w:color="auto" w:fill="4f81bd"/>
        </w:tblPrEx>
        <w:trPr>
          <w:trHeight w:val="221" w:hRule="atLeast"/>
          <w:tblHeader/>
        </w:trPr>
        <w:tc>
          <w:tcPr>
            <w:tcW w:type="dxa" w:w="205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Starter</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Growth</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Scale</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f3ede4"/>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Enterprise</w:t>
            </w:r>
          </w:p>
        </w:tc>
      </w:tr>
      <w:tr>
        <w:tblPrEx>
          <w:shd w:val="clear" w:color="auto" w:fill="ced7e7"/>
        </w:tblPrEx>
        <w:trPr>
          <w:trHeight w:val="221" w:hRule="atLeast"/>
        </w:trPr>
        <w:tc>
          <w:tcPr>
            <w:tcW w:type="dxa" w:w="205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b w:val="1"/>
                <w:bCs w:val="1"/>
                <w:outline w:val="0"/>
                <w:color w:val="1c1612"/>
                <w:u w:color="1c1612"/>
                <w:shd w:val="nil" w:color="auto" w:fill="auto"/>
                <w:rtl w:val="0"/>
                <w:lang w:val="en-US"/>
                <w14:textFill>
                  <w14:solidFill>
                    <w14:srgbClr w14:val="1C1612"/>
                  </w14:solidFill>
                </w14:textFill>
              </w:rPr>
              <w:t>Rollover</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none</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quarter</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half-yr</w:t>
            </w:r>
          </w:p>
        </w:tc>
        <w:tc>
          <w:tcPr>
            <w:tcW w:type="dxa" w:w="1875"/>
            <w:tcBorders>
              <w:top w:val="single" w:color="d8d2c8" w:sz="4" w:space="0" w:shadow="0" w:frame="0"/>
              <w:left w:val="single" w:color="d8d2c8" w:sz="4" w:space="0" w:shadow="0" w:frame="0"/>
              <w:bottom w:val="single" w:color="d8d2c8" w:sz="4" w:space="0" w:shadow="0" w:frame="0"/>
              <w:right w:val="single" w:color="d8d2c8"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hAnsi="Calibri"/>
                <w:outline w:val="0"/>
                <w:color w:val="1c1612"/>
                <w:u w:color="1c1612"/>
                <w:shd w:val="nil" w:color="auto" w:fill="auto"/>
                <w:rtl w:val="0"/>
                <w:lang w:val="en-US"/>
                <w14:textFill>
                  <w14:solidFill>
                    <w14:srgbClr w14:val="1C1612"/>
                  </w14:solidFill>
                </w14:textFill>
              </w:rPr>
              <w:t>full-yr</w:t>
            </w:r>
          </w:p>
        </w:tc>
      </w:tr>
    </w:tbl>
    <w:p>
      <w:pPr>
        <w:pStyle w:val="Body"/>
        <w:widowControl w:val="0"/>
        <w:spacing w:after="100" w:line="240" w:lineRule="auto"/>
        <w:rPr>
          <w:rFonts w:ascii="Calibri" w:cs="Calibri" w:hAnsi="Calibri" w:eastAsia="Calibri"/>
          <w:outline w:val="0"/>
          <w:color w:val="1c1612"/>
          <w:u w:color="1c1612"/>
          <w14:textFill>
            <w14:solidFill>
              <w14:srgbClr w14:val="1C1612"/>
            </w14:solidFill>
          </w14:textFill>
        </w:rPr>
      </w:pPr>
    </w:p>
    <w:p>
      <w:pPr>
        <w:pStyle w:val="Body"/>
        <w:spacing w:after="100"/>
        <w:ind w:left="720" w:firstLine="0"/>
        <w:jc w:val="both"/>
        <w:rPr>
          <w:rFonts w:ascii="Calibri" w:cs="Calibri" w:hAnsi="Calibri" w:eastAsia="Calibri"/>
        </w:rPr>
      </w:pPr>
    </w:p>
    <w:p>
      <w:pPr>
        <w:pStyle w:val="Body"/>
        <w:numPr>
          <w:ilvl w:val="0"/>
          <w:numId w:val="10"/>
        </w:numPr>
        <w:bidi w:val="0"/>
        <w:ind w:right="0"/>
        <w:jc w:val="both"/>
        <w:rPr>
          <w:rFonts w:ascii="Calibri" w:hAnsi="Calibri"/>
          <w:b w:val="1"/>
          <w:bCs w:val="1"/>
          <w:outline w:val="0"/>
          <w:color w:val="1c4587"/>
          <w:rtl w:val="0"/>
          <w:lang w:val="en-US"/>
          <w14:textFill>
            <w14:solidFill>
              <w14:srgbClr w14:val="1C4587"/>
            </w14:solidFill>
          </w14:textFill>
        </w:rPr>
      </w:pPr>
      <w:r>
        <w:rPr>
          <w:rFonts w:ascii="Calibri" w:hAnsi="Calibri"/>
          <w:b w:val="1"/>
          <w:bCs w:val="1"/>
          <w:outline w:val="0"/>
          <w:color w:val="1c4587"/>
          <w:u w:color="1c4587"/>
          <w:rtl w:val="0"/>
          <w:lang w:val="en-US"/>
          <w14:textFill>
            <w14:solidFill>
              <w14:srgbClr w14:val="1C4587"/>
            </w14:solidFill>
          </w14:textFill>
        </w:rPr>
        <w:t>Additional Credits and Renewal.</w:t>
      </w:r>
    </w:p>
    <w:p>
      <w:pPr>
        <w:pStyle w:val="Body"/>
        <w:numPr>
          <w:ilvl w:val="1"/>
          <w:numId w:val="2"/>
        </w:numPr>
        <w:bidi w:val="0"/>
        <w:ind w:right="0"/>
        <w:jc w:val="both"/>
        <w:rPr>
          <w:rFonts w:ascii="Calibri" w:hAnsi="Calibri"/>
          <w:rtl w:val="0"/>
          <w:lang w:val="en-US"/>
        </w:rPr>
      </w:pPr>
      <w:r>
        <w:rPr>
          <w:rFonts w:ascii="Calibri" w:hAnsi="Calibri"/>
          <w:rtl w:val="0"/>
          <w:lang w:val="en-US"/>
        </w:rPr>
        <w:t>Customer may purchase additional Credits during the Subscription Term in accordance with the applicable Order Form and any Additional Capacity Order.</w:t>
      </w:r>
    </w:p>
    <w:p>
      <w:pPr>
        <w:pStyle w:val="Body"/>
        <w:numPr>
          <w:ilvl w:val="1"/>
          <w:numId w:val="2"/>
        </w:numPr>
        <w:bidi w:val="0"/>
        <w:ind w:right="0"/>
        <w:jc w:val="both"/>
        <w:rPr>
          <w:rFonts w:ascii="Calibri" w:hAnsi="Calibri"/>
          <w:rtl w:val="0"/>
          <w:lang w:val="en-US"/>
        </w:rPr>
      </w:pPr>
      <w:r>
        <w:rPr>
          <w:rFonts w:ascii="Calibri" w:hAnsi="Calibri"/>
          <w:rtl w:val="0"/>
          <w:lang w:val="en-US"/>
        </w:rPr>
        <w:t>The Effective Rate stated in the Order Form remains locked for the applicable Subscription Term, subject to any expressly agreed Additional Capacity Order or overage pricing.</w:t>
      </w:r>
    </w:p>
    <w:p>
      <w:pPr>
        <w:pStyle w:val="Body"/>
        <w:numPr>
          <w:ilvl w:val="1"/>
          <w:numId w:val="2"/>
        </w:numPr>
        <w:bidi w:val="0"/>
        <w:ind w:right="0"/>
        <w:jc w:val="both"/>
        <w:rPr>
          <w:rFonts w:ascii="Calibri" w:hAnsi="Calibri"/>
          <w:rtl w:val="0"/>
          <w:lang w:val="en-US"/>
        </w:rPr>
      </w:pPr>
      <w:r>
        <w:rPr>
          <w:rFonts w:ascii="Calibri" w:hAnsi="Calibri"/>
          <w:rtl w:val="0"/>
          <w:lang w:val="en-US"/>
        </w:rPr>
        <w:t>At renewal, Credit rates and commercial terms may be revised based on Joveo</w:t>
      </w:r>
      <w:r>
        <w:rPr>
          <w:rFonts w:ascii="Calibri" w:hAnsi="Calibri" w:hint="default"/>
          <w:rtl w:val="0"/>
          <w:lang w:val="en-US"/>
        </w:rPr>
        <w:t>’</w:t>
      </w:r>
      <w:r>
        <w:rPr>
          <w:rFonts w:ascii="Calibri" w:hAnsi="Calibri"/>
          <w:rtl w:val="0"/>
          <w:lang w:val="en-US"/>
        </w:rPr>
        <w:t xml:space="preserve">s then-current pricing, market conditions and Customer utilization. </w:t>
      </w:r>
    </w:p>
    <w:p>
      <w:pPr>
        <w:pStyle w:val="Body"/>
        <w:ind w:left="1440" w:firstLine="0"/>
        <w:jc w:val="both"/>
        <w:rPr>
          <w:rFonts w:ascii="Calibri" w:cs="Calibri" w:hAnsi="Calibri" w:eastAsia="Calibri"/>
        </w:rPr>
      </w:pPr>
    </w:p>
    <w:p>
      <w:pPr>
        <w:pStyle w:val="Heading1"/>
        <w:numPr>
          <w:ilvl w:val="0"/>
          <w:numId w:val="2"/>
        </w:numPr>
        <w:bidi w:val="0"/>
        <w:spacing w:after="100"/>
        <w:ind w:right="0"/>
        <w:jc w:val="both"/>
        <w:rPr>
          <w:rFonts w:ascii="Calibri" w:hAnsi="Calibri"/>
          <w:b w:val="1"/>
          <w:bCs w:val="1"/>
          <w:outline w:val="0"/>
          <w:color w:val="1c4587"/>
          <w:rtl w:val="0"/>
          <w:lang w:val="en-US"/>
          <w14:textFill>
            <w14:solidFill>
              <w14:srgbClr w14:val="1C4587"/>
            </w14:solidFill>
          </w14:textFill>
        </w:rPr>
      </w:pPr>
      <w:r>
        <w:rPr>
          <w:rFonts w:ascii="Calibri" w:hAnsi="Calibri"/>
          <w:b w:val="1"/>
          <w:bCs w:val="1"/>
          <w:outline w:val="0"/>
          <w:color w:val="1c4587"/>
          <w:u w:color="1c4587"/>
          <w:rtl w:val="0"/>
          <w:lang w:val="en-US"/>
          <w14:textFill>
            <w14:solidFill>
              <w14:srgbClr w14:val="1C4587"/>
            </w14:solidFill>
          </w14:textFill>
        </w:rPr>
        <w:t xml:space="preserve">Order of Precedence. </w:t>
      </w:r>
    </w:p>
    <w:p>
      <w:pPr>
        <w:pStyle w:val="Body"/>
        <w:spacing w:after="100"/>
        <w:jc w:val="both"/>
        <w:rPr>
          <w:rFonts w:ascii="Calibri" w:cs="Calibri" w:hAnsi="Calibri" w:eastAsia="Calibri"/>
        </w:rPr>
      </w:pPr>
      <w:r>
        <w:rPr>
          <w:rFonts w:ascii="Calibri" w:hAnsi="Calibri"/>
          <w:rtl w:val="0"/>
          <w:lang w:val="en-US"/>
        </w:rPr>
        <w:t>If there is a conflict between this Consumption Schedule and the applicable Order Form regarding Customer-specific commercial terms (including the Credit commitment, Effective Rate, overage election or other expressly negotiated commercial terms), the Order Form controls. For all other conflicts, the order of precedence in the Agreement applies.</w:t>
      </w:r>
    </w:p>
    <w:p>
      <w:pPr>
        <w:pStyle w:val="Body"/>
        <w:spacing w:after="100"/>
        <w:jc w:val="both"/>
      </w:pPr>
      <w:r>
        <w:rPr>
          <w:rFonts w:ascii="Calibri" w:cs="Calibri" w:hAnsi="Calibri" w:eastAsia="Calibri"/>
        </w:rPr>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Bold">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both"/>
    </w:pPr>
    <w:r>
      <w:drawing xmlns:a="http://schemas.openxmlformats.org/drawingml/2006/main">
        <wp:anchor distT="152400" distB="152400" distL="152400" distR="152400" simplePos="0" relativeHeight="251658240" behindDoc="1" locked="0" layoutInCell="1" allowOverlap="1">
          <wp:simplePos x="0" y="0"/>
          <wp:positionH relativeFrom="page">
            <wp:posOffset>200025</wp:posOffset>
          </wp:positionH>
          <wp:positionV relativeFrom="page">
            <wp:posOffset>142875</wp:posOffset>
          </wp:positionV>
          <wp:extent cx="1490663" cy="571500"/>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extLst/>
                  </a:blip>
                  <a:stretch>
                    <a:fillRect/>
                  </a:stretch>
                </pic:blipFill>
                <pic:spPr>
                  <a:xfrm>
                    <a:off x="0" y="0"/>
                    <a:ext cx="1490663" cy="571500"/>
                  </a:xfrm>
                  <a:prstGeom prst="rect">
                    <a:avLst/>
                  </a:prstGeom>
                  <a:ln w="12700" cap="flat">
                    <a:noFill/>
                    <a:miter lim="400000"/>
                  </a:ln>
                  <a:effectLst/>
                </pic:spPr>
              </pic:pic>
            </a:graphicData>
          </a:graphic>
        </wp:anchor>
      </w:drawing>
    </w:r>
    <w:r>
      <w:rPr>
        <w:rtl w:val="0"/>
        <w:lang w:val="de-DE"/>
      </w:rPr>
      <w:tab/>
      <w:tab/>
      <w:tab/>
      <w:tab/>
      <w:tab/>
      <w:tab/>
      <w:tab/>
      <w:tab/>
      <w:t xml:space="preserve">                              V.1 | Effective - Sept, 26</w: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450" w:hanging="45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990" w:hanging="56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1710" w:hanging="45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2430" w:hanging="45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3150" w:hanging="56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3870" w:hanging="45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4590" w:hanging="45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5310" w:hanging="56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5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2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9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7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4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1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8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5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3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3"/>
    </w:lvlOverride>
  </w:num>
  <w:num w:numId="6">
    <w:abstractNumId w:val="0"/>
    <w:lvlOverride w:ilvl="0">
      <w:startOverride w:val="4"/>
    </w:lvlOverride>
  </w:num>
  <w:num w:numId="7">
    <w:abstractNumId w:val="0"/>
    <w:lvlOverride w:ilvl="0">
      <w:startOverride w:val="5"/>
    </w:lvlOverride>
  </w:num>
  <w:num w:numId="8">
    <w:abstractNumId w:val="0"/>
    <w:lvlOverride w:ilvl="0">
      <w:startOverride w:val="6"/>
    </w:lvlOverride>
  </w:num>
  <w:num w:numId="9">
    <w:abstractNumId w:val="0"/>
    <w:lvlOverride w:ilvl="0">
      <w:startOverride w:val="7"/>
    </w:lvlOverride>
  </w:num>
  <w:num w:numId="10">
    <w:abstractNumId w:val="0"/>
    <w:lvlOverride w:ilvl="0">
      <w:startOverride w:val="8"/>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paragraph" w:styleId="Heading1">
    <w:name w:val="heading 1"/>
    <w:basedOn w:val="Body"/>
    <w:next w:val="Body"/>
    <w:qFormat/>
    <w:pPr>
      <w:keepNext/>
    </w:pPr>
    <w:rPr>
      <w:b/>
    </w:rPr>
  </w:style>
  <w:style w:type="paragraph" w:styleId="Heading2">
    <w:name w:val="heading 2"/>
    <w:basedOn w:val="Body"/>
    <w:next w:val="Body"/>
    <w:qFormat/>
    <w:pPr>
      <w:keepNext/>
    </w:pPr>
    <w:rPr>
      <w:b/>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